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71" w:rsidRPr="008720E2" w:rsidRDefault="009572E2" w:rsidP="009572E2">
      <w:pPr>
        <w:jc w:val="center"/>
        <w:rPr>
          <w:rFonts w:ascii="Times New Roman" w:hAnsi="Times New Roman" w:cs="Times New Roman"/>
          <w:b/>
          <w:i/>
          <w:sz w:val="32"/>
          <w:szCs w:val="32"/>
          <w:u w:val="single"/>
        </w:rPr>
      </w:pPr>
      <w:r w:rsidRPr="008720E2">
        <w:rPr>
          <w:rFonts w:ascii="Times New Roman" w:hAnsi="Times New Roman" w:cs="Times New Roman"/>
          <w:b/>
          <w:i/>
          <w:sz w:val="32"/>
          <w:szCs w:val="32"/>
          <w:u w:val="single"/>
        </w:rPr>
        <w:t>İTALYA</w:t>
      </w:r>
    </w:p>
    <w:p w:rsidR="008720E2" w:rsidRDefault="008720E2" w:rsidP="009572E2">
      <w:pPr>
        <w:jc w:val="center"/>
        <w:rPr>
          <w:rFonts w:ascii="Times New Roman" w:hAnsi="Times New Roman" w:cs="Times New Roman"/>
          <w:i/>
          <w:sz w:val="32"/>
          <w:szCs w:val="32"/>
        </w:rPr>
      </w:pPr>
    </w:p>
    <w:p w:rsidR="008720E2" w:rsidRDefault="008720E2" w:rsidP="009572E2">
      <w:pPr>
        <w:jc w:val="center"/>
        <w:rPr>
          <w:rFonts w:ascii="Times New Roman" w:hAnsi="Times New Roman" w:cs="Times New Roman"/>
          <w:i/>
          <w:sz w:val="32"/>
          <w:szCs w:val="32"/>
        </w:rPr>
      </w:pPr>
    </w:p>
    <w:p w:rsidR="008720E2" w:rsidRDefault="008720E2" w:rsidP="009572E2">
      <w:pPr>
        <w:jc w:val="center"/>
        <w:rPr>
          <w:rFonts w:ascii="Times New Roman" w:hAnsi="Times New Roman" w:cs="Times New Roman"/>
          <w:i/>
          <w:sz w:val="32"/>
          <w:szCs w:val="32"/>
        </w:rPr>
      </w:pPr>
    </w:p>
    <w:p w:rsidR="008720E2" w:rsidRDefault="008720E2" w:rsidP="009572E2">
      <w:pPr>
        <w:jc w:val="center"/>
        <w:rPr>
          <w:rFonts w:ascii="Times New Roman" w:hAnsi="Times New Roman" w:cs="Times New Roman"/>
          <w:i/>
          <w:sz w:val="32"/>
          <w:szCs w:val="32"/>
        </w:rPr>
      </w:pPr>
    </w:p>
    <w:p w:rsidR="008720E2" w:rsidRDefault="008720E2" w:rsidP="009572E2">
      <w:pPr>
        <w:jc w:val="center"/>
        <w:rPr>
          <w:rFonts w:ascii="Times New Roman" w:hAnsi="Times New Roman" w:cs="Times New Roman"/>
          <w:i/>
          <w:sz w:val="32"/>
          <w:szCs w:val="32"/>
        </w:rPr>
      </w:pPr>
      <w:r>
        <w:rPr>
          <w:rFonts w:ascii="Times New Roman" w:hAnsi="Times New Roman" w:cs="Times New Roman"/>
          <w:i/>
          <w:noProof/>
          <w:sz w:val="32"/>
          <w:szCs w:val="32"/>
        </w:rPr>
        <w:drawing>
          <wp:inline distT="0" distB="0" distL="0" distR="0">
            <wp:extent cx="5756419" cy="5922952"/>
            <wp:effectExtent l="19050" t="0" r="0" b="0"/>
            <wp:docPr id="1" name="Resim 1" descr="C:\Users\Ticaret\Desktop\ital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caret\Desktop\italya.jpg"/>
                    <pic:cNvPicPr>
                      <a:picLocks noChangeAspect="1" noChangeArrowheads="1"/>
                    </pic:cNvPicPr>
                  </pic:nvPicPr>
                  <pic:blipFill>
                    <a:blip r:embed="rId4"/>
                    <a:srcRect/>
                    <a:stretch>
                      <a:fillRect/>
                    </a:stretch>
                  </pic:blipFill>
                  <pic:spPr bwMode="auto">
                    <a:xfrm>
                      <a:off x="0" y="0"/>
                      <a:ext cx="5760720" cy="5927377"/>
                    </a:xfrm>
                    <a:prstGeom prst="rect">
                      <a:avLst/>
                    </a:prstGeom>
                    <a:noFill/>
                    <a:ln w="9525">
                      <a:noFill/>
                      <a:miter lim="800000"/>
                      <a:headEnd/>
                      <a:tailEnd/>
                    </a:ln>
                  </pic:spPr>
                </pic:pic>
              </a:graphicData>
            </a:graphic>
          </wp:inline>
        </w:drawing>
      </w:r>
    </w:p>
    <w:p w:rsidR="008720E2" w:rsidRDefault="008720E2" w:rsidP="008720E2">
      <w:pPr>
        <w:rPr>
          <w:rFonts w:ascii="Times New Roman" w:hAnsi="Times New Roman" w:cs="Times New Roman"/>
          <w:i/>
          <w:sz w:val="32"/>
          <w:szCs w:val="32"/>
        </w:rPr>
      </w:pPr>
    </w:p>
    <w:p w:rsidR="008720E2" w:rsidRPr="009572E2" w:rsidRDefault="008720E2" w:rsidP="008720E2">
      <w:pPr>
        <w:rPr>
          <w:rFonts w:ascii="Times New Roman" w:hAnsi="Times New Roman" w:cs="Times New Roman"/>
          <w:i/>
          <w:sz w:val="32"/>
          <w:szCs w:val="32"/>
        </w:rPr>
      </w:pPr>
    </w:p>
    <w:p w:rsidR="009572E2" w:rsidRPr="009A5170" w:rsidRDefault="009572E2" w:rsidP="009572E2">
      <w:pPr>
        <w:spacing w:after="100" w:afterAutospacing="1" w:line="240" w:lineRule="auto"/>
        <w:jc w:val="both"/>
        <w:outlineLvl w:val="3"/>
        <w:rPr>
          <w:rFonts w:ascii="Times New Roman" w:eastAsia="Times New Roman" w:hAnsi="Times New Roman" w:cs="Times New Roman"/>
          <w:b/>
          <w:i/>
          <w:color w:val="212529"/>
          <w:sz w:val="28"/>
          <w:szCs w:val="28"/>
        </w:rPr>
      </w:pPr>
      <w:r w:rsidRPr="009A5170">
        <w:rPr>
          <w:rFonts w:ascii="Times New Roman" w:eastAsia="Times New Roman" w:hAnsi="Times New Roman" w:cs="Times New Roman"/>
          <w:b/>
          <w:i/>
          <w:color w:val="212529"/>
          <w:sz w:val="28"/>
          <w:szCs w:val="28"/>
          <w:u w:val="single"/>
        </w:rPr>
        <w:lastRenderedPageBreak/>
        <w:t>COĞRAFİ KONUM</w:t>
      </w:r>
    </w:p>
    <w:p w:rsidR="009572E2" w:rsidRPr="009A5170" w:rsidRDefault="009572E2" w:rsidP="009572E2">
      <w:pPr>
        <w:spacing w:after="100" w:afterAutospacing="1" w:line="240" w:lineRule="auto"/>
        <w:jc w:val="both"/>
        <w:rPr>
          <w:rFonts w:ascii="Times New Roman" w:eastAsia="Times New Roman" w:hAnsi="Times New Roman" w:cs="Times New Roman"/>
          <w:i/>
          <w:color w:val="212529"/>
          <w:sz w:val="16"/>
          <w:szCs w:val="16"/>
        </w:rPr>
      </w:pPr>
      <w:r w:rsidRPr="009A5170">
        <w:rPr>
          <w:rFonts w:ascii="Times New Roman" w:eastAsia="Times New Roman" w:hAnsi="Times New Roman" w:cs="Times New Roman"/>
          <w:i/>
          <w:color w:val="212529"/>
          <w:sz w:val="16"/>
          <w:szCs w:val="16"/>
        </w:rPr>
        <w:t xml:space="preserve">İtalya, Avrupa’nın güneyinden Akdeniz içlerine doğru kuzeybatı güneydoğu yönünde uzanan bir yarımada üzerinde yer alır. Güneyinde ve batısında Akdeniz, doğusunda Adriyatik Denizi ve kuzeyinde Alp Dağları ile çevrelenmiştir. Akdeniz’deki Sicilya ve Sardunya adaları ile yarımada çevresindeki irili ufaklı birçok ada İtalya’ya aittir. Kuzeyde, </w:t>
      </w:r>
      <w:proofErr w:type="spellStart"/>
      <w:r w:rsidRPr="009A5170">
        <w:rPr>
          <w:rFonts w:ascii="Times New Roman" w:eastAsia="Times New Roman" w:hAnsi="Times New Roman" w:cs="Times New Roman"/>
          <w:i/>
          <w:color w:val="212529"/>
          <w:sz w:val="16"/>
          <w:szCs w:val="16"/>
        </w:rPr>
        <w:t>Lugano</w:t>
      </w:r>
      <w:proofErr w:type="spellEnd"/>
      <w:r w:rsidRPr="009A5170">
        <w:rPr>
          <w:rFonts w:ascii="Times New Roman" w:eastAsia="Times New Roman" w:hAnsi="Times New Roman" w:cs="Times New Roman"/>
          <w:i/>
          <w:color w:val="212529"/>
          <w:sz w:val="16"/>
          <w:szCs w:val="16"/>
        </w:rPr>
        <w:t xml:space="preserve"> Gölü’nün İsviçre’de bulunan kısmında, göl kıyısında bulunan </w:t>
      </w:r>
      <w:proofErr w:type="spellStart"/>
      <w:r w:rsidRPr="009A5170">
        <w:rPr>
          <w:rFonts w:ascii="Times New Roman" w:eastAsia="Times New Roman" w:hAnsi="Times New Roman" w:cs="Times New Roman"/>
          <w:i/>
          <w:color w:val="212529"/>
          <w:sz w:val="16"/>
          <w:szCs w:val="16"/>
        </w:rPr>
        <w:t>Campione</w:t>
      </w:r>
      <w:proofErr w:type="spellEnd"/>
      <w:r w:rsidRPr="009A5170">
        <w:rPr>
          <w:rFonts w:ascii="Times New Roman" w:eastAsia="Times New Roman" w:hAnsi="Times New Roman" w:cs="Times New Roman"/>
          <w:i/>
          <w:color w:val="212529"/>
          <w:sz w:val="16"/>
          <w:szCs w:val="16"/>
        </w:rPr>
        <w:t xml:space="preserve"> kasabası da İtalya topraklarından tamamen ayrı bir durumda olmasına rağmen resmi olarak İtalya toprağıdır. </w:t>
      </w:r>
    </w:p>
    <w:p w:rsidR="009572E2" w:rsidRPr="009A5170" w:rsidRDefault="009572E2" w:rsidP="009572E2">
      <w:pPr>
        <w:spacing w:after="100" w:afterAutospacing="1" w:line="240" w:lineRule="auto"/>
        <w:jc w:val="both"/>
        <w:rPr>
          <w:rFonts w:ascii="Times New Roman" w:eastAsia="Times New Roman" w:hAnsi="Times New Roman" w:cs="Times New Roman"/>
          <w:i/>
          <w:color w:val="212529"/>
          <w:sz w:val="16"/>
          <w:szCs w:val="16"/>
        </w:rPr>
      </w:pPr>
      <w:r w:rsidRPr="009A5170">
        <w:rPr>
          <w:rFonts w:ascii="Times New Roman" w:eastAsia="Times New Roman" w:hAnsi="Times New Roman" w:cs="Times New Roman"/>
          <w:i/>
          <w:color w:val="212529"/>
          <w:sz w:val="16"/>
          <w:szCs w:val="16"/>
        </w:rPr>
        <w:t>İtalya’nın, kuzeybatısında Fransa, kuzeyinde İsviçre ve Avusturya, kuzeydoğusunda Slovenya ile kara sınırı bulunmaktadır. Ayrıca kendi toprakları içerisinde bulunan iki bağımsız ülke ile de sınırı vardır. Bu ülkelerden biri Katolik mezhebinin dini başkenti olan, Roma içerisindeki Vatikan Devleti (0,44 km2); diğeri de Avrupa’nın yaşayan en eski cumhuriyeti olan ve Floransa’nın 100 km. kadar batısında yer alan San Marino Cumhuriyeti (481 km2)’</w:t>
      </w:r>
      <w:proofErr w:type="spellStart"/>
      <w:r w:rsidRPr="009A5170">
        <w:rPr>
          <w:rFonts w:ascii="Times New Roman" w:eastAsia="Times New Roman" w:hAnsi="Times New Roman" w:cs="Times New Roman"/>
          <w:i/>
          <w:color w:val="212529"/>
          <w:sz w:val="16"/>
          <w:szCs w:val="16"/>
        </w:rPr>
        <w:t>dir</w:t>
      </w:r>
      <w:proofErr w:type="spellEnd"/>
      <w:r w:rsidRPr="009A5170">
        <w:rPr>
          <w:rFonts w:ascii="Times New Roman" w:eastAsia="Times New Roman" w:hAnsi="Times New Roman" w:cs="Times New Roman"/>
          <w:i/>
          <w:color w:val="212529"/>
          <w:sz w:val="16"/>
          <w:szCs w:val="16"/>
        </w:rPr>
        <w:t>.</w:t>
      </w:r>
    </w:p>
    <w:p w:rsidR="009572E2" w:rsidRPr="009A5170" w:rsidRDefault="009572E2" w:rsidP="009572E2">
      <w:pPr>
        <w:spacing w:after="100" w:afterAutospacing="1" w:line="240" w:lineRule="auto"/>
        <w:jc w:val="both"/>
        <w:rPr>
          <w:rFonts w:ascii="Times New Roman" w:eastAsia="Times New Roman" w:hAnsi="Times New Roman" w:cs="Times New Roman"/>
          <w:i/>
          <w:color w:val="212529"/>
          <w:sz w:val="16"/>
          <w:szCs w:val="16"/>
        </w:rPr>
      </w:pPr>
      <w:r w:rsidRPr="009A5170">
        <w:rPr>
          <w:rFonts w:ascii="Times New Roman" w:eastAsia="Times New Roman" w:hAnsi="Times New Roman" w:cs="Times New Roman"/>
          <w:i/>
          <w:color w:val="212529"/>
          <w:sz w:val="16"/>
          <w:szCs w:val="16"/>
        </w:rPr>
        <w:t>Bu ülkelere ek olarak Adriyatik ülkelerinden Hırvatistan, Bosna-Hersek, Karadağ ve Arnavutluk’un, Akdeniz ülkelerinden Yunanistan, Tunus ve Malta’nın aralarında kara sınırı bulunmamasına rağmen İtalya’ya komşu ülke olduğu söylenebilir.</w:t>
      </w:r>
    </w:p>
    <w:p w:rsidR="009572E2" w:rsidRPr="009A5170" w:rsidRDefault="009572E2" w:rsidP="009572E2">
      <w:pPr>
        <w:spacing w:after="100" w:afterAutospacing="1" w:line="240" w:lineRule="auto"/>
        <w:jc w:val="both"/>
        <w:rPr>
          <w:rFonts w:ascii="Times New Roman" w:eastAsia="Times New Roman" w:hAnsi="Times New Roman" w:cs="Times New Roman"/>
          <w:color w:val="212529"/>
          <w:sz w:val="16"/>
          <w:szCs w:val="16"/>
        </w:rPr>
      </w:pPr>
      <w:r w:rsidRPr="009A5170">
        <w:rPr>
          <w:rFonts w:ascii="Times New Roman" w:eastAsia="Times New Roman" w:hAnsi="Times New Roman" w:cs="Times New Roman"/>
          <w:i/>
          <w:color w:val="212529"/>
          <w:sz w:val="16"/>
          <w:szCs w:val="16"/>
        </w:rPr>
        <w:t xml:space="preserve">İtalya’nın kuzeyden güneye 1.150 km. boyunca uzanan bir coğrafyaya sahip olması nedeniyle iklim bölgeden bölgeye değişiklikler göstermektedir. Yazları kuzeydeki yüksek kesimler haricinde ülkenin hemen her yeri güneşlidir ve gün içindeki en yüksek sıcaklıklar 30 derece civarında gerçekleşmektedir. Kış aylarında ise sıcaklıklar bölgeden bölgeye değişmekte, Milano’da 0 derece iken, Roma’da </w:t>
      </w:r>
      <w:r w:rsidRPr="009A5170">
        <w:rPr>
          <w:rFonts w:ascii="Times New Roman" w:eastAsia="Times New Roman" w:hAnsi="Times New Roman" w:cs="Times New Roman"/>
          <w:color w:val="212529"/>
          <w:sz w:val="16"/>
          <w:szCs w:val="16"/>
        </w:rPr>
        <w:t>+10 derece, Sicilya ve Sardunya adalarında ise +20 derece olabilmektedir.</w:t>
      </w:r>
    </w:p>
    <w:p w:rsidR="009572E2" w:rsidRPr="009A5170" w:rsidRDefault="009572E2" w:rsidP="009572E2">
      <w:pPr>
        <w:pStyle w:val="Balk4"/>
        <w:spacing w:before="0" w:beforeAutospacing="0"/>
        <w:jc w:val="both"/>
        <w:rPr>
          <w:bCs w:val="0"/>
          <w:i/>
          <w:color w:val="212529"/>
          <w:sz w:val="28"/>
          <w:szCs w:val="28"/>
          <w:u w:val="single"/>
        </w:rPr>
      </w:pPr>
      <w:r w:rsidRPr="009A5170">
        <w:rPr>
          <w:bCs w:val="0"/>
          <w:i/>
          <w:color w:val="212529"/>
          <w:sz w:val="28"/>
          <w:szCs w:val="28"/>
          <w:u w:val="single"/>
        </w:rPr>
        <w:t>SİYASİ VE İDARİ YAPI</w:t>
      </w:r>
    </w:p>
    <w:p w:rsidR="009572E2" w:rsidRPr="009A5170" w:rsidRDefault="009572E2" w:rsidP="009572E2">
      <w:pPr>
        <w:pStyle w:val="NormalWeb"/>
        <w:spacing w:before="0" w:beforeAutospacing="0"/>
        <w:jc w:val="both"/>
        <w:rPr>
          <w:i/>
          <w:color w:val="212529"/>
          <w:sz w:val="16"/>
          <w:szCs w:val="16"/>
        </w:rPr>
      </w:pPr>
      <w:r w:rsidRPr="009A5170">
        <w:rPr>
          <w:i/>
          <w:color w:val="212529"/>
          <w:sz w:val="16"/>
          <w:szCs w:val="16"/>
        </w:rPr>
        <w:t>İtalyan siyasi birliği, 1861 yılında İtalya Krallığı’nın yeninden ihdasının (</w:t>
      </w:r>
      <w:proofErr w:type="spellStart"/>
      <w:r w:rsidRPr="009A5170">
        <w:rPr>
          <w:i/>
          <w:color w:val="212529"/>
          <w:sz w:val="16"/>
          <w:szCs w:val="16"/>
        </w:rPr>
        <w:t>Risorgimento</w:t>
      </w:r>
      <w:proofErr w:type="spellEnd"/>
      <w:r w:rsidRPr="009A5170">
        <w:rPr>
          <w:i/>
          <w:color w:val="212529"/>
          <w:sz w:val="16"/>
          <w:szCs w:val="16"/>
        </w:rPr>
        <w:t xml:space="preserve">) ardından, 1866’da </w:t>
      </w:r>
      <w:proofErr w:type="spellStart"/>
      <w:r w:rsidRPr="009A5170">
        <w:rPr>
          <w:i/>
          <w:color w:val="212529"/>
          <w:sz w:val="16"/>
          <w:szCs w:val="16"/>
        </w:rPr>
        <w:t>Garibaldi</w:t>
      </w:r>
      <w:proofErr w:type="spellEnd"/>
      <w:r w:rsidRPr="009A5170">
        <w:rPr>
          <w:i/>
          <w:color w:val="212529"/>
          <w:sz w:val="16"/>
          <w:szCs w:val="16"/>
        </w:rPr>
        <w:t xml:space="preserve"> öncülüğünde başlatılan Bağımsızlık Savaşı sonucunda sağlanmıştır. 1870-71 Prusya-Fransa Savaşı’nın ardından son kalan Fransız güçlerinin de ülkeden atılmasıyla bağımsız ulus-devlet kurulmuştur.</w:t>
      </w:r>
    </w:p>
    <w:p w:rsidR="009572E2" w:rsidRPr="009A5170" w:rsidRDefault="009572E2" w:rsidP="009572E2">
      <w:pPr>
        <w:pStyle w:val="NormalWeb"/>
        <w:spacing w:before="0" w:beforeAutospacing="0"/>
        <w:jc w:val="both"/>
        <w:rPr>
          <w:i/>
          <w:color w:val="212529"/>
          <w:sz w:val="16"/>
          <w:szCs w:val="16"/>
        </w:rPr>
      </w:pPr>
      <w:r w:rsidRPr="009A5170">
        <w:rPr>
          <w:i/>
          <w:color w:val="212529"/>
          <w:sz w:val="16"/>
          <w:szCs w:val="16"/>
        </w:rPr>
        <w:t xml:space="preserve">Krallık, İkinci Dünya Savaşı’nın bitimine kadar sürmüş, bu süre zarfında İtalya’nın günümüzdeki toprak bütünlüğü ortaya çıkmıştır. Tarihsel olarak “Güney </w:t>
      </w:r>
      <w:proofErr w:type="spellStart"/>
      <w:r w:rsidRPr="009A5170">
        <w:rPr>
          <w:i/>
          <w:color w:val="212529"/>
          <w:sz w:val="16"/>
          <w:szCs w:val="16"/>
        </w:rPr>
        <w:t>Tirol</w:t>
      </w:r>
      <w:proofErr w:type="spellEnd"/>
      <w:r w:rsidRPr="009A5170">
        <w:rPr>
          <w:i/>
          <w:color w:val="212529"/>
          <w:sz w:val="16"/>
          <w:szCs w:val="16"/>
        </w:rPr>
        <w:t xml:space="preserve">” ismiyle bilinen </w:t>
      </w:r>
      <w:proofErr w:type="spellStart"/>
      <w:r w:rsidRPr="009A5170">
        <w:rPr>
          <w:i/>
          <w:color w:val="212529"/>
          <w:sz w:val="16"/>
          <w:szCs w:val="16"/>
        </w:rPr>
        <w:t>Trentino</w:t>
      </w:r>
      <w:proofErr w:type="spellEnd"/>
      <w:r w:rsidRPr="009A5170">
        <w:rPr>
          <w:i/>
          <w:color w:val="212529"/>
          <w:sz w:val="16"/>
          <w:szCs w:val="16"/>
        </w:rPr>
        <w:t xml:space="preserve">-Alto </w:t>
      </w:r>
      <w:proofErr w:type="spellStart"/>
      <w:r w:rsidRPr="009A5170">
        <w:rPr>
          <w:i/>
          <w:color w:val="212529"/>
          <w:sz w:val="16"/>
          <w:szCs w:val="16"/>
        </w:rPr>
        <w:t>Adige</w:t>
      </w:r>
      <w:proofErr w:type="spellEnd"/>
      <w:r w:rsidRPr="009A5170">
        <w:rPr>
          <w:i/>
          <w:color w:val="212529"/>
          <w:sz w:val="16"/>
          <w:szCs w:val="16"/>
        </w:rPr>
        <w:t xml:space="preserve"> Bölgesi ve tarihsel olarak “</w:t>
      </w:r>
      <w:proofErr w:type="spellStart"/>
      <w:r w:rsidRPr="009A5170">
        <w:rPr>
          <w:i/>
          <w:color w:val="212529"/>
          <w:sz w:val="16"/>
          <w:szCs w:val="16"/>
        </w:rPr>
        <w:t>Istria</w:t>
      </w:r>
      <w:proofErr w:type="spellEnd"/>
      <w:r w:rsidRPr="009A5170">
        <w:rPr>
          <w:i/>
          <w:color w:val="212529"/>
          <w:sz w:val="16"/>
          <w:szCs w:val="16"/>
        </w:rPr>
        <w:t xml:space="preserve">” ismiyle bilinen </w:t>
      </w:r>
      <w:proofErr w:type="spellStart"/>
      <w:r w:rsidRPr="009A5170">
        <w:rPr>
          <w:i/>
          <w:color w:val="212529"/>
          <w:sz w:val="16"/>
          <w:szCs w:val="16"/>
        </w:rPr>
        <w:t>Friuli</w:t>
      </w:r>
      <w:proofErr w:type="spellEnd"/>
      <w:r w:rsidRPr="009A5170">
        <w:rPr>
          <w:i/>
          <w:color w:val="212529"/>
          <w:sz w:val="16"/>
          <w:szCs w:val="16"/>
        </w:rPr>
        <w:t>-</w:t>
      </w:r>
      <w:proofErr w:type="spellStart"/>
      <w:r w:rsidRPr="009A5170">
        <w:rPr>
          <w:i/>
          <w:color w:val="212529"/>
          <w:sz w:val="16"/>
          <w:szCs w:val="16"/>
        </w:rPr>
        <w:t>Venezia</w:t>
      </w:r>
      <w:proofErr w:type="spellEnd"/>
      <w:r w:rsidRPr="009A5170">
        <w:rPr>
          <w:i/>
          <w:color w:val="212529"/>
          <w:sz w:val="16"/>
          <w:szCs w:val="16"/>
        </w:rPr>
        <w:t xml:space="preserve"> </w:t>
      </w:r>
      <w:proofErr w:type="spellStart"/>
      <w:r w:rsidRPr="009A5170">
        <w:rPr>
          <w:i/>
          <w:color w:val="212529"/>
          <w:sz w:val="16"/>
          <w:szCs w:val="16"/>
        </w:rPr>
        <w:t>Giulia</w:t>
      </w:r>
      <w:proofErr w:type="spellEnd"/>
      <w:r w:rsidRPr="009A5170">
        <w:rPr>
          <w:i/>
          <w:color w:val="212529"/>
          <w:sz w:val="16"/>
          <w:szCs w:val="16"/>
        </w:rPr>
        <w:t xml:space="preserve"> Bölgesi Birinci Dünya Savaşı’nın mağluplarından Avusturya’yla 1919 yılında imzalanan </w:t>
      </w:r>
      <w:proofErr w:type="spellStart"/>
      <w:r w:rsidRPr="009A5170">
        <w:rPr>
          <w:i/>
          <w:color w:val="212529"/>
          <w:sz w:val="16"/>
          <w:szCs w:val="16"/>
        </w:rPr>
        <w:t>St</w:t>
      </w:r>
      <w:proofErr w:type="spellEnd"/>
      <w:r w:rsidRPr="009A5170">
        <w:rPr>
          <w:i/>
          <w:color w:val="212529"/>
          <w:sz w:val="16"/>
          <w:szCs w:val="16"/>
        </w:rPr>
        <w:t xml:space="preserve">. </w:t>
      </w:r>
      <w:proofErr w:type="spellStart"/>
      <w:r w:rsidRPr="009A5170">
        <w:rPr>
          <w:i/>
          <w:color w:val="212529"/>
          <w:sz w:val="16"/>
          <w:szCs w:val="16"/>
        </w:rPr>
        <w:t>Germain</w:t>
      </w:r>
      <w:proofErr w:type="spellEnd"/>
      <w:r w:rsidRPr="009A5170">
        <w:rPr>
          <w:i/>
          <w:color w:val="212529"/>
          <w:sz w:val="16"/>
          <w:szCs w:val="16"/>
        </w:rPr>
        <w:t xml:space="preserve"> Antlaşması sonucunda İtalya siyasi birliğine katılmıştır.</w:t>
      </w:r>
    </w:p>
    <w:p w:rsidR="009572E2" w:rsidRPr="009A5170" w:rsidRDefault="009572E2" w:rsidP="009572E2">
      <w:pPr>
        <w:pStyle w:val="NormalWeb"/>
        <w:spacing w:before="0" w:beforeAutospacing="0"/>
        <w:jc w:val="both"/>
        <w:rPr>
          <w:i/>
          <w:color w:val="212529"/>
          <w:sz w:val="16"/>
          <w:szCs w:val="16"/>
        </w:rPr>
      </w:pPr>
      <w:proofErr w:type="spellStart"/>
      <w:r w:rsidRPr="009A5170">
        <w:rPr>
          <w:i/>
          <w:color w:val="212529"/>
          <w:sz w:val="16"/>
          <w:szCs w:val="16"/>
        </w:rPr>
        <w:t>Mussolini</w:t>
      </w:r>
      <w:proofErr w:type="spellEnd"/>
      <w:r w:rsidRPr="009A5170">
        <w:rPr>
          <w:i/>
          <w:color w:val="212529"/>
          <w:sz w:val="16"/>
          <w:szCs w:val="16"/>
        </w:rPr>
        <w:t xml:space="preserve"> dönemindeki faşist yönetimine müttefikler tarafından son verilmesinin ardından, 1946 yılında İtalya’da Cumhuriyet kurulmuştur. “Birinci Cumhuriyet” olarak adlandırılan ve 1993 yılına kadar süren bu devir, ülke siyasetine Soğuk Savaş mantığının ve kısa süreli çok parti koalisyonlarının yol açtığı istikrarsızlığın damgasını vurduğu bir dönem olmuştur.</w:t>
      </w:r>
    </w:p>
    <w:p w:rsidR="009572E2" w:rsidRPr="009A5170" w:rsidRDefault="009572E2" w:rsidP="009572E2">
      <w:pPr>
        <w:pStyle w:val="NormalWeb"/>
        <w:spacing w:before="0" w:beforeAutospacing="0"/>
        <w:jc w:val="both"/>
        <w:rPr>
          <w:i/>
          <w:color w:val="212529"/>
          <w:sz w:val="16"/>
          <w:szCs w:val="16"/>
        </w:rPr>
      </w:pPr>
      <w:r w:rsidRPr="009A5170">
        <w:rPr>
          <w:i/>
          <w:color w:val="212529"/>
          <w:sz w:val="16"/>
          <w:szCs w:val="16"/>
        </w:rPr>
        <w:t xml:space="preserve">Soğuk Savaş’ın bitimini müteakip, “temiz eller operasyonu” olarak anılan hukuki süreçte sistem içindeki siyasi partilerin yönetici kadrosunun tamamına yakını yolsuzluk suçları ve mafya bağlantıları nedeniyle yargılanarak tasfiye edilmiştir. 1993 yılında </w:t>
      </w:r>
      <w:proofErr w:type="spellStart"/>
      <w:r w:rsidRPr="009A5170">
        <w:rPr>
          <w:i/>
          <w:color w:val="212529"/>
          <w:sz w:val="16"/>
          <w:szCs w:val="16"/>
        </w:rPr>
        <w:t>Silvio</w:t>
      </w:r>
      <w:proofErr w:type="spellEnd"/>
      <w:r w:rsidRPr="009A5170">
        <w:rPr>
          <w:i/>
          <w:color w:val="212529"/>
          <w:sz w:val="16"/>
          <w:szCs w:val="16"/>
        </w:rPr>
        <w:t xml:space="preserve"> </w:t>
      </w:r>
      <w:proofErr w:type="spellStart"/>
      <w:r w:rsidRPr="009A5170">
        <w:rPr>
          <w:i/>
          <w:color w:val="212529"/>
          <w:sz w:val="16"/>
          <w:szCs w:val="16"/>
        </w:rPr>
        <w:t>Berlusconi</w:t>
      </w:r>
      <w:proofErr w:type="spellEnd"/>
      <w:r w:rsidRPr="009A5170">
        <w:rPr>
          <w:i/>
          <w:color w:val="212529"/>
          <w:sz w:val="16"/>
          <w:szCs w:val="16"/>
        </w:rPr>
        <w:t xml:space="preserve"> ve Kuzey Ligi gibi yeni aktörlerin gelmesiyle başlayan döneme “İkinci Cumhuriyet” adı verilmektedir. Bu dönemin başından itibaren (1994-95 </w:t>
      </w:r>
      <w:proofErr w:type="spellStart"/>
      <w:r w:rsidRPr="009A5170">
        <w:rPr>
          <w:i/>
          <w:color w:val="212529"/>
          <w:sz w:val="16"/>
          <w:szCs w:val="16"/>
        </w:rPr>
        <w:t>Berlusconi</w:t>
      </w:r>
      <w:proofErr w:type="spellEnd"/>
      <w:r w:rsidRPr="009A5170">
        <w:rPr>
          <w:i/>
          <w:color w:val="212529"/>
          <w:sz w:val="16"/>
          <w:szCs w:val="16"/>
        </w:rPr>
        <w:t xml:space="preserve"> ve 1996-98 </w:t>
      </w:r>
      <w:proofErr w:type="spellStart"/>
      <w:r w:rsidRPr="009A5170">
        <w:rPr>
          <w:i/>
          <w:color w:val="212529"/>
          <w:sz w:val="16"/>
          <w:szCs w:val="16"/>
        </w:rPr>
        <w:t>Prodi</w:t>
      </w:r>
      <w:proofErr w:type="spellEnd"/>
      <w:r w:rsidRPr="009A5170">
        <w:rPr>
          <w:i/>
          <w:color w:val="212529"/>
          <w:sz w:val="16"/>
          <w:szCs w:val="16"/>
        </w:rPr>
        <w:t>) benzer eğilimdeki siyasi partilerin bir araya gelerek koalisyonlar/bloklar oluşturmaları dikkat çekmektedir.</w:t>
      </w:r>
    </w:p>
    <w:p w:rsidR="009A5170" w:rsidRDefault="009572E2" w:rsidP="009A5170">
      <w:pPr>
        <w:pStyle w:val="NormalWeb"/>
        <w:spacing w:before="0" w:beforeAutospacing="0"/>
        <w:jc w:val="both"/>
        <w:rPr>
          <w:i/>
          <w:color w:val="212529"/>
          <w:sz w:val="16"/>
          <w:szCs w:val="16"/>
        </w:rPr>
      </w:pPr>
      <w:r w:rsidRPr="009A5170">
        <w:rPr>
          <w:i/>
          <w:color w:val="212529"/>
          <w:sz w:val="16"/>
          <w:szCs w:val="16"/>
        </w:rPr>
        <w:t>İkinci Dünya Savaşı’ndan günümüze değin 61 hükümetin görev yaptığı İtalya’da, iktidarların 48’ini koalisyonlar oluşturmuş, partilerin tamamı dönemsel yeni isimler almış ve yeniden yapılanmışlardır.</w:t>
      </w:r>
    </w:p>
    <w:p w:rsidR="009572E2" w:rsidRPr="009A5170" w:rsidRDefault="009572E2" w:rsidP="009A5170">
      <w:pPr>
        <w:pStyle w:val="NormalWeb"/>
        <w:spacing w:before="0" w:beforeAutospacing="0"/>
        <w:jc w:val="both"/>
        <w:rPr>
          <w:b/>
          <w:i/>
          <w:color w:val="212529"/>
          <w:sz w:val="28"/>
          <w:szCs w:val="28"/>
          <w:u w:val="single"/>
        </w:rPr>
      </w:pPr>
      <w:r w:rsidRPr="009572E2">
        <w:rPr>
          <w:bCs/>
          <w:i/>
          <w:color w:val="212529"/>
          <w:sz w:val="32"/>
          <w:szCs w:val="32"/>
        </w:rPr>
        <w:br/>
      </w:r>
      <w:r w:rsidRPr="009A5170">
        <w:rPr>
          <w:b/>
          <w:bCs/>
          <w:i/>
          <w:color w:val="212529"/>
          <w:sz w:val="28"/>
          <w:szCs w:val="28"/>
          <w:u w:val="single"/>
        </w:rPr>
        <w:t>NÜFUS VE İŞ GÜCÜ </w:t>
      </w:r>
    </w:p>
    <w:p w:rsidR="009572E2" w:rsidRPr="009A5170" w:rsidRDefault="009572E2" w:rsidP="009572E2">
      <w:pPr>
        <w:pStyle w:val="NormalWeb"/>
        <w:spacing w:before="0" w:beforeAutospacing="0"/>
        <w:jc w:val="both"/>
        <w:rPr>
          <w:i/>
          <w:color w:val="212529"/>
          <w:sz w:val="16"/>
          <w:szCs w:val="16"/>
        </w:rPr>
      </w:pPr>
      <w:r w:rsidRPr="009A5170">
        <w:rPr>
          <w:i/>
          <w:color w:val="212529"/>
          <w:sz w:val="16"/>
          <w:szCs w:val="16"/>
        </w:rPr>
        <w:t>Ülkenin nüfusu 2017 yılı için IMF tahminlerine göre 61 milyona yaklaşmıştır. Nüfusun artmasına rağmen İtalya, dünyanın en düşük doğum oranına sahip ülkelerinden birisidir. Aslında ülkenin nüfus artışı dışarıdan gelen göçlerle artmaktadır. Bunun yanında, İtalya Japonya’dan sonra dünyanın en yaşlı nüfusuna sahip ikinci ülkesidir ve ülke yaşlanmaya devam edecektir. 2010- 2030 arasında çok yaşlı nüfusun (80+) %56 artması beklenmektedir.</w:t>
      </w:r>
    </w:p>
    <w:p w:rsidR="009572E2" w:rsidRPr="009A5170" w:rsidRDefault="009572E2" w:rsidP="009572E2">
      <w:pPr>
        <w:pStyle w:val="NormalWeb"/>
        <w:spacing w:before="0" w:beforeAutospacing="0"/>
        <w:jc w:val="both"/>
        <w:rPr>
          <w:i/>
          <w:color w:val="212529"/>
          <w:sz w:val="16"/>
          <w:szCs w:val="16"/>
        </w:rPr>
      </w:pPr>
      <w:r w:rsidRPr="009A5170">
        <w:rPr>
          <w:i/>
          <w:color w:val="212529"/>
          <w:sz w:val="16"/>
          <w:szCs w:val="16"/>
        </w:rPr>
        <w:t>2018 yılında % 0,3 oranında artarak 60,8 milyon kişi ile dünyada 23. sırada yer alan İtalya nüfusunun 2024 yılında 60,6 milyon, 2030 yılında da 62,5 milyon kişi olacağı tahmin edilmektedir. 2010 yılında ülkedeki göçmenlerin toplam nüfusa oranı % 7 iken 2030 yılında ikiye katlanarak toplam nüfus içinde %13,6’ya ulaşması beklenmektedir.</w:t>
      </w:r>
    </w:p>
    <w:p w:rsidR="009572E2" w:rsidRPr="009A5170" w:rsidRDefault="009572E2" w:rsidP="009572E2">
      <w:pPr>
        <w:pStyle w:val="NormalWeb"/>
        <w:spacing w:before="0" w:beforeAutospacing="0"/>
        <w:jc w:val="both"/>
        <w:rPr>
          <w:i/>
          <w:color w:val="212529"/>
          <w:sz w:val="16"/>
          <w:szCs w:val="16"/>
        </w:rPr>
      </w:pPr>
      <w:r w:rsidRPr="009A5170">
        <w:rPr>
          <w:i/>
          <w:color w:val="212529"/>
          <w:sz w:val="16"/>
          <w:szCs w:val="16"/>
        </w:rPr>
        <w:t xml:space="preserve">Ülkedeki işgücünün 2017 yılı için 26 milyon olduğu tahmin edilmektedir. Bu nüfusun % 3,9'u tarımda, 28,3'ü sanayide ve % 67,8'i hizmetler sektöründe istihdam edilmektedir. İtalya nitelikli ve </w:t>
      </w:r>
      <w:proofErr w:type="spellStart"/>
      <w:r w:rsidRPr="009A5170">
        <w:rPr>
          <w:i/>
          <w:color w:val="212529"/>
          <w:sz w:val="16"/>
          <w:szCs w:val="16"/>
        </w:rPr>
        <w:t>Eurozone</w:t>
      </w:r>
      <w:proofErr w:type="spellEnd"/>
      <w:r w:rsidRPr="009A5170">
        <w:rPr>
          <w:i/>
          <w:color w:val="212529"/>
          <w:sz w:val="16"/>
          <w:szCs w:val="16"/>
        </w:rPr>
        <w:t xml:space="preserve"> ortalamasının altında düşük ücretli teknik işgücüne sahip bir ülkedir. Ülkedeki işsiz sayısının toplam işgücüne oranı 2017 yılında %11,6 olup dünyada işsizliğin yüksek olduğu ülkeler arasında 42. sırada yer almaktadır.</w:t>
      </w:r>
    </w:p>
    <w:p w:rsidR="009572E2" w:rsidRDefault="009572E2" w:rsidP="009572E2">
      <w:pPr>
        <w:pStyle w:val="Balk2"/>
        <w:shd w:val="clear" w:color="auto" w:fill="F1F1F1"/>
        <w:spacing w:before="0" w:after="139"/>
        <w:rPr>
          <w:rFonts w:ascii="Arial" w:hAnsi="Arial" w:cs="Arial"/>
          <w:color w:val="09376B"/>
          <w:sz w:val="24"/>
          <w:szCs w:val="24"/>
        </w:rPr>
      </w:pPr>
      <w:r>
        <w:rPr>
          <w:rFonts w:ascii="Arial" w:hAnsi="Arial" w:cs="Arial"/>
          <w:color w:val="09376B"/>
          <w:sz w:val="24"/>
          <w:szCs w:val="24"/>
        </w:rPr>
        <w:t>Genel Ekonomik Durum</w:t>
      </w:r>
    </w:p>
    <w:p w:rsidR="009572E2" w:rsidRDefault="009572E2" w:rsidP="009572E2">
      <w:pPr>
        <w:pStyle w:val="Balk4"/>
        <w:spacing w:before="0" w:beforeAutospacing="0"/>
        <w:jc w:val="both"/>
        <w:rPr>
          <w:bCs w:val="0"/>
          <w:i/>
          <w:color w:val="212529"/>
        </w:rPr>
      </w:pPr>
      <w:r w:rsidRPr="009572E2">
        <w:rPr>
          <w:bCs w:val="0"/>
          <w:i/>
          <w:color w:val="212529"/>
        </w:rPr>
        <w:t>Temel Ekonomik Göstergeler</w:t>
      </w:r>
    </w:p>
    <w:tbl>
      <w:tblPr>
        <w:tblStyle w:val="TabloKlavuzu"/>
        <w:tblW w:w="0" w:type="auto"/>
        <w:tblLook w:val="04A0"/>
      </w:tblPr>
      <w:tblGrid>
        <w:gridCol w:w="1809"/>
        <w:gridCol w:w="709"/>
        <w:gridCol w:w="992"/>
        <w:gridCol w:w="993"/>
        <w:gridCol w:w="992"/>
        <w:gridCol w:w="850"/>
        <w:gridCol w:w="993"/>
        <w:gridCol w:w="992"/>
        <w:gridCol w:w="882"/>
      </w:tblGrid>
      <w:tr w:rsidR="00901D86" w:rsidTr="00901D86">
        <w:tc>
          <w:tcPr>
            <w:tcW w:w="1809" w:type="dxa"/>
          </w:tcPr>
          <w:p w:rsidR="009572E2" w:rsidRDefault="009572E2" w:rsidP="009572E2">
            <w:pPr>
              <w:pStyle w:val="Balk4"/>
              <w:spacing w:before="0" w:beforeAutospacing="0"/>
              <w:jc w:val="both"/>
              <w:outlineLvl w:val="3"/>
              <w:rPr>
                <w:bCs w:val="0"/>
                <w:i/>
                <w:color w:val="212529"/>
              </w:rPr>
            </w:pPr>
          </w:p>
        </w:tc>
        <w:tc>
          <w:tcPr>
            <w:tcW w:w="709"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2017a</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2018b</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2019b</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2020b</w:t>
            </w:r>
          </w:p>
        </w:tc>
        <w:tc>
          <w:tcPr>
            <w:tcW w:w="850"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2021b</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2022b</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2023b</w:t>
            </w:r>
          </w:p>
        </w:tc>
        <w:tc>
          <w:tcPr>
            <w:tcW w:w="88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2024b</w:t>
            </w:r>
          </w:p>
        </w:tc>
      </w:tr>
      <w:tr w:rsidR="00901D86" w:rsidTr="00901D86">
        <w:tc>
          <w:tcPr>
            <w:tcW w:w="1809" w:type="dxa"/>
          </w:tcPr>
          <w:p w:rsidR="009572E2" w:rsidRPr="00901D86" w:rsidRDefault="00901D86" w:rsidP="009572E2">
            <w:pPr>
              <w:pStyle w:val="Balk4"/>
              <w:spacing w:before="0" w:beforeAutospacing="0"/>
              <w:jc w:val="both"/>
              <w:outlineLvl w:val="3"/>
              <w:rPr>
                <w:bCs w:val="0"/>
                <w:i/>
                <w:color w:val="212529"/>
                <w:sz w:val="16"/>
                <w:szCs w:val="16"/>
              </w:rPr>
            </w:pPr>
            <w:r w:rsidRPr="00901D86">
              <w:rPr>
                <w:rStyle w:val="Gl"/>
                <w:i/>
                <w:color w:val="212529"/>
                <w:sz w:val="16"/>
                <w:szCs w:val="16"/>
                <w:shd w:val="clear" w:color="auto" w:fill="FFFFFF"/>
              </w:rPr>
              <w:t>GSYİH(Cari Fiyatlar, milyar $)</w:t>
            </w:r>
          </w:p>
        </w:tc>
        <w:tc>
          <w:tcPr>
            <w:tcW w:w="709"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1.946,9</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2.072,2</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2.025,9</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2.090,5</w:t>
            </w:r>
          </w:p>
        </w:tc>
        <w:tc>
          <w:tcPr>
            <w:tcW w:w="850"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2.142,5</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2.200,7</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2.256,8</w:t>
            </w:r>
          </w:p>
        </w:tc>
        <w:tc>
          <w:tcPr>
            <w:tcW w:w="882" w:type="dxa"/>
          </w:tcPr>
          <w:p w:rsidR="009572E2" w:rsidRPr="003B331F" w:rsidRDefault="00901D86" w:rsidP="009572E2">
            <w:pPr>
              <w:pStyle w:val="Balk4"/>
              <w:spacing w:before="0" w:beforeAutospacing="0"/>
              <w:jc w:val="both"/>
              <w:outlineLvl w:val="3"/>
              <w:rPr>
                <w:bCs w:val="0"/>
                <w:i/>
                <w:color w:val="212529"/>
                <w:sz w:val="16"/>
                <w:szCs w:val="16"/>
              </w:rPr>
            </w:pPr>
            <w:r w:rsidRPr="003B331F">
              <w:rPr>
                <w:i/>
                <w:color w:val="212529"/>
                <w:sz w:val="16"/>
                <w:szCs w:val="16"/>
                <w:shd w:val="clear" w:color="auto" w:fill="FFFFFF"/>
              </w:rPr>
              <w:t>2.323,0</w:t>
            </w:r>
          </w:p>
        </w:tc>
      </w:tr>
      <w:tr w:rsidR="00901D86" w:rsidTr="00901D86">
        <w:tc>
          <w:tcPr>
            <w:tcW w:w="1809" w:type="dxa"/>
          </w:tcPr>
          <w:p w:rsidR="009572E2" w:rsidRPr="00901D86" w:rsidRDefault="00901D86" w:rsidP="009572E2">
            <w:pPr>
              <w:pStyle w:val="Balk4"/>
              <w:spacing w:before="0" w:beforeAutospacing="0"/>
              <w:jc w:val="both"/>
              <w:outlineLvl w:val="3"/>
              <w:rPr>
                <w:bCs w:val="0"/>
                <w:i/>
                <w:color w:val="212529"/>
                <w:sz w:val="16"/>
                <w:szCs w:val="16"/>
              </w:rPr>
            </w:pPr>
            <w:proofErr w:type="spellStart"/>
            <w:r w:rsidRPr="00901D86">
              <w:rPr>
                <w:rStyle w:val="Gl"/>
                <w:i/>
                <w:color w:val="212529"/>
                <w:sz w:val="16"/>
                <w:szCs w:val="16"/>
                <w:shd w:val="clear" w:color="auto" w:fill="FFFFFF"/>
              </w:rPr>
              <w:t>GSYİHBüyüme</w:t>
            </w:r>
            <w:proofErr w:type="spellEnd"/>
            <w:r w:rsidRPr="00901D86">
              <w:rPr>
                <w:rStyle w:val="Gl"/>
                <w:i/>
                <w:color w:val="212529"/>
                <w:sz w:val="16"/>
                <w:szCs w:val="16"/>
                <w:shd w:val="clear" w:color="auto" w:fill="FFFFFF"/>
              </w:rPr>
              <w:t xml:space="preserve"> (Sabit Fiyatlar, %)</w:t>
            </w:r>
          </w:p>
        </w:tc>
        <w:tc>
          <w:tcPr>
            <w:tcW w:w="709"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1,6</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0,9</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0,1</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0,9</w:t>
            </w:r>
          </w:p>
        </w:tc>
        <w:tc>
          <w:tcPr>
            <w:tcW w:w="850"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0,7</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0,6</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0,6</w:t>
            </w:r>
          </w:p>
        </w:tc>
        <w:tc>
          <w:tcPr>
            <w:tcW w:w="88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0,7</w:t>
            </w:r>
          </w:p>
        </w:tc>
      </w:tr>
      <w:tr w:rsidR="00901D86" w:rsidTr="00901D86">
        <w:tc>
          <w:tcPr>
            <w:tcW w:w="1809" w:type="dxa"/>
          </w:tcPr>
          <w:p w:rsidR="009572E2" w:rsidRPr="00901D86" w:rsidRDefault="00901D86" w:rsidP="009572E2">
            <w:pPr>
              <w:pStyle w:val="Balk4"/>
              <w:spacing w:before="0" w:beforeAutospacing="0"/>
              <w:jc w:val="both"/>
              <w:outlineLvl w:val="3"/>
              <w:rPr>
                <w:b w:val="0"/>
                <w:bCs w:val="0"/>
                <w:color w:val="212529"/>
                <w:sz w:val="16"/>
                <w:szCs w:val="16"/>
              </w:rPr>
            </w:pPr>
            <w:r w:rsidRPr="00901D86">
              <w:rPr>
                <w:b w:val="0"/>
                <w:bCs w:val="0"/>
                <w:color w:val="212529"/>
                <w:sz w:val="16"/>
                <w:szCs w:val="16"/>
              </w:rPr>
              <w:t>Kişi Başına Düşen GSYİH(Cari Fiyatlar, $)</w:t>
            </w:r>
          </w:p>
        </w:tc>
        <w:tc>
          <w:tcPr>
            <w:tcW w:w="709"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32,133</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34,260</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33,253</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34,429</w:t>
            </w:r>
          </w:p>
        </w:tc>
        <w:tc>
          <w:tcPr>
            <w:tcW w:w="850"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35,300</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36,279</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37,227</w:t>
            </w:r>
          </w:p>
        </w:tc>
        <w:tc>
          <w:tcPr>
            <w:tcW w:w="88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38,345</w:t>
            </w:r>
          </w:p>
        </w:tc>
      </w:tr>
      <w:tr w:rsidR="00901D86" w:rsidTr="00901D86">
        <w:tc>
          <w:tcPr>
            <w:tcW w:w="1809" w:type="dxa"/>
          </w:tcPr>
          <w:p w:rsidR="009572E2" w:rsidRPr="00901D86" w:rsidRDefault="00901D86" w:rsidP="009572E2">
            <w:pPr>
              <w:pStyle w:val="Balk4"/>
              <w:spacing w:before="0" w:beforeAutospacing="0"/>
              <w:jc w:val="both"/>
              <w:outlineLvl w:val="3"/>
              <w:rPr>
                <w:bCs w:val="0"/>
                <w:i/>
                <w:color w:val="212529"/>
                <w:sz w:val="16"/>
                <w:szCs w:val="16"/>
              </w:rPr>
            </w:pPr>
            <w:r w:rsidRPr="00901D86">
              <w:rPr>
                <w:rStyle w:val="Gl"/>
                <w:i/>
                <w:color w:val="212529"/>
                <w:sz w:val="16"/>
                <w:szCs w:val="16"/>
                <w:shd w:val="clear" w:color="auto" w:fill="FFFFFF"/>
              </w:rPr>
              <w:t>Toplam Yatırımlar (</w:t>
            </w:r>
            <w:proofErr w:type="spellStart"/>
            <w:r w:rsidRPr="00901D86">
              <w:rPr>
                <w:rStyle w:val="Gl"/>
                <w:i/>
                <w:color w:val="212529"/>
                <w:sz w:val="16"/>
                <w:szCs w:val="16"/>
                <w:shd w:val="clear" w:color="auto" w:fill="FFFFFF"/>
              </w:rPr>
              <w:t>GSYİH’ya</w:t>
            </w:r>
            <w:proofErr w:type="spellEnd"/>
            <w:r w:rsidRPr="00901D86">
              <w:rPr>
                <w:rStyle w:val="Gl"/>
                <w:i/>
                <w:color w:val="212529"/>
                <w:sz w:val="16"/>
                <w:szCs w:val="16"/>
                <w:shd w:val="clear" w:color="auto" w:fill="FFFFFF"/>
              </w:rPr>
              <w:t xml:space="preserve"> oranı, %)</w:t>
            </w:r>
          </w:p>
        </w:tc>
        <w:tc>
          <w:tcPr>
            <w:tcW w:w="709"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17,7</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18,0</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17,7</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17,9</w:t>
            </w:r>
          </w:p>
        </w:tc>
        <w:tc>
          <w:tcPr>
            <w:tcW w:w="850"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18,0</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18,1</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18,2</w:t>
            </w:r>
          </w:p>
        </w:tc>
        <w:tc>
          <w:tcPr>
            <w:tcW w:w="88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18,4</w:t>
            </w:r>
          </w:p>
        </w:tc>
      </w:tr>
      <w:tr w:rsidR="00901D86" w:rsidTr="00901D86">
        <w:tc>
          <w:tcPr>
            <w:tcW w:w="1809" w:type="dxa"/>
          </w:tcPr>
          <w:p w:rsidR="009572E2" w:rsidRPr="00901D86" w:rsidRDefault="00901D86" w:rsidP="009572E2">
            <w:pPr>
              <w:pStyle w:val="Balk4"/>
              <w:spacing w:before="0" w:beforeAutospacing="0"/>
              <w:jc w:val="both"/>
              <w:outlineLvl w:val="3"/>
              <w:rPr>
                <w:bCs w:val="0"/>
                <w:i/>
                <w:color w:val="212529"/>
                <w:sz w:val="16"/>
                <w:szCs w:val="16"/>
              </w:rPr>
            </w:pPr>
            <w:proofErr w:type="spellStart"/>
            <w:r w:rsidRPr="00901D86">
              <w:rPr>
                <w:rStyle w:val="Gl"/>
                <w:i/>
                <w:color w:val="212529"/>
                <w:sz w:val="16"/>
                <w:szCs w:val="16"/>
                <w:shd w:val="clear" w:color="auto" w:fill="FFFFFF"/>
              </w:rPr>
              <w:t>TüketiciFiyat</w:t>
            </w:r>
            <w:proofErr w:type="spellEnd"/>
            <w:r w:rsidRPr="00901D86">
              <w:rPr>
                <w:rStyle w:val="Gl"/>
                <w:i/>
                <w:color w:val="212529"/>
                <w:sz w:val="16"/>
                <w:szCs w:val="16"/>
                <w:shd w:val="clear" w:color="auto" w:fill="FFFFFF"/>
              </w:rPr>
              <w:t xml:space="preserve"> </w:t>
            </w:r>
            <w:r>
              <w:rPr>
                <w:rStyle w:val="Gl"/>
                <w:i/>
                <w:color w:val="212529"/>
                <w:sz w:val="16"/>
                <w:szCs w:val="16"/>
                <w:shd w:val="clear" w:color="auto" w:fill="FFFFFF"/>
              </w:rPr>
              <w:t>Enflasyonu(ortalama,</w:t>
            </w:r>
            <w:r w:rsidRPr="00901D86">
              <w:rPr>
                <w:rStyle w:val="Gl"/>
                <w:i/>
                <w:color w:val="212529"/>
                <w:sz w:val="16"/>
                <w:szCs w:val="16"/>
                <w:shd w:val="clear" w:color="auto" w:fill="FFFFFF"/>
              </w:rPr>
              <w:t>%)</w:t>
            </w:r>
          </w:p>
        </w:tc>
        <w:tc>
          <w:tcPr>
            <w:tcW w:w="709"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1,33</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1,24a</w:t>
            </w:r>
          </w:p>
        </w:tc>
        <w:tc>
          <w:tcPr>
            <w:tcW w:w="993"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0,76</w:t>
            </w:r>
          </w:p>
        </w:tc>
        <w:tc>
          <w:tcPr>
            <w:tcW w:w="992" w:type="dxa"/>
          </w:tcPr>
          <w:p w:rsidR="009572E2" w:rsidRPr="003B331F" w:rsidRDefault="00901D86" w:rsidP="009572E2">
            <w:pPr>
              <w:pStyle w:val="Balk4"/>
              <w:spacing w:before="0" w:beforeAutospacing="0"/>
              <w:jc w:val="both"/>
              <w:outlineLvl w:val="3"/>
              <w:rPr>
                <w:bCs w:val="0"/>
                <w:i/>
                <w:color w:val="212529"/>
                <w:sz w:val="16"/>
                <w:szCs w:val="16"/>
              </w:rPr>
            </w:pPr>
            <w:r w:rsidRPr="003B331F">
              <w:rPr>
                <w:bCs w:val="0"/>
                <w:i/>
                <w:color w:val="212529"/>
                <w:sz w:val="16"/>
                <w:szCs w:val="16"/>
              </w:rPr>
              <w:t>1,19</w:t>
            </w:r>
          </w:p>
        </w:tc>
        <w:tc>
          <w:tcPr>
            <w:tcW w:w="850" w:type="dxa"/>
          </w:tcPr>
          <w:p w:rsidR="009572E2"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1,24</w:t>
            </w:r>
          </w:p>
        </w:tc>
        <w:tc>
          <w:tcPr>
            <w:tcW w:w="993" w:type="dxa"/>
          </w:tcPr>
          <w:p w:rsidR="009572E2"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1,44</w:t>
            </w:r>
          </w:p>
        </w:tc>
        <w:tc>
          <w:tcPr>
            <w:tcW w:w="992" w:type="dxa"/>
          </w:tcPr>
          <w:p w:rsidR="009572E2"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1,54</w:t>
            </w:r>
          </w:p>
        </w:tc>
        <w:tc>
          <w:tcPr>
            <w:tcW w:w="882" w:type="dxa"/>
          </w:tcPr>
          <w:p w:rsidR="009572E2"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1,62</w:t>
            </w:r>
          </w:p>
        </w:tc>
      </w:tr>
      <w:tr w:rsidR="00901D86" w:rsidTr="00901D86">
        <w:tc>
          <w:tcPr>
            <w:tcW w:w="1809" w:type="dxa"/>
          </w:tcPr>
          <w:p w:rsidR="00901D86" w:rsidRPr="00901D86" w:rsidRDefault="00901D86" w:rsidP="009572E2">
            <w:pPr>
              <w:pStyle w:val="Balk4"/>
              <w:spacing w:before="0" w:beforeAutospacing="0"/>
              <w:jc w:val="both"/>
              <w:outlineLvl w:val="3"/>
              <w:rPr>
                <w:rStyle w:val="Gl"/>
                <w:color w:val="212529"/>
                <w:sz w:val="16"/>
                <w:szCs w:val="16"/>
                <w:shd w:val="clear" w:color="auto" w:fill="FFFFFF"/>
              </w:rPr>
            </w:pPr>
            <w:r w:rsidRPr="00901D86">
              <w:rPr>
                <w:rStyle w:val="Gl"/>
                <w:color w:val="212529"/>
                <w:sz w:val="16"/>
                <w:szCs w:val="16"/>
                <w:shd w:val="clear" w:color="auto" w:fill="FFFFFF"/>
              </w:rPr>
              <w:t>İşgücü (Milyon)</w:t>
            </w:r>
          </w:p>
        </w:tc>
        <w:tc>
          <w:tcPr>
            <w:tcW w:w="709"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23,0</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23,2</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23,3</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23,4</w:t>
            </w:r>
          </w:p>
        </w:tc>
        <w:tc>
          <w:tcPr>
            <w:tcW w:w="850"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w:t>
            </w:r>
          </w:p>
        </w:tc>
        <w:tc>
          <w:tcPr>
            <w:tcW w:w="88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w:t>
            </w:r>
          </w:p>
        </w:tc>
      </w:tr>
      <w:tr w:rsidR="00901D86" w:rsidTr="00901D86">
        <w:tc>
          <w:tcPr>
            <w:tcW w:w="1809" w:type="dxa"/>
          </w:tcPr>
          <w:p w:rsidR="00901D86" w:rsidRPr="00901D86" w:rsidRDefault="00901D86" w:rsidP="009572E2">
            <w:pPr>
              <w:pStyle w:val="Balk4"/>
              <w:spacing w:before="0" w:beforeAutospacing="0"/>
              <w:jc w:val="both"/>
              <w:outlineLvl w:val="3"/>
              <w:rPr>
                <w:rStyle w:val="Gl"/>
                <w:color w:val="212529"/>
                <w:sz w:val="16"/>
                <w:szCs w:val="16"/>
                <w:shd w:val="clear" w:color="auto" w:fill="FFFFFF"/>
              </w:rPr>
            </w:pPr>
            <w:r w:rsidRPr="00901D86">
              <w:rPr>
                <w:rStyle w:val="Gl"/>
                <w:color w:val="212529"/>
                <w:sz w:val="16"/>
                <w:szCs w:val="16"/>
                <w:shd w:val="clear" w:color="auto" w:fill="FFFFFF"/>
              </w:rPr>
              <w:t>İşsizlik Oranı (%)</w:t>
            </w:r>
          </w:p>
        </w:tc>
        <w:tc>
          <w:tcPr>
            <w:tcW w:w="709"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11,3</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10,6</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10,7</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10,5</w:t>
            </w:r>
          </w:p>
        </w:tc>
        <w:tc>
          <w:tcPr>
            <w:tcW w:w="850"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10,4</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10,3</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10,2</w:t>
            </w:r>
          </w:p>
        </w:tc>
        <w:tc>
          <w:tcPr>
            <w:tcW w:w="88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10,1</w:t>
            </w:r>
          </w:p>
        </w:tc>
      </w:tr>
      <w:tr w:rsidR="00901D86" w:rsidTr="00901D86">
        <w:tc>
          <w:tcPr>
            <w:tcW w:w="1809" w:type="dxa"/>
          </w:tcPr>
          <w:p w:rsidR="00901D86" w:rsidRPr="00901D86" w:rsidRDefault="00901D86" w:rsidP="009572E2">
            <w:pPr>
              <w:pStyle w:val="Balk4"/>
              <w:spacing w:before="0" w:beforeAutospacing="0"/>
              <w:jc w:val="both"/>
              <w:outlineLvl w:val="3"/>
              <w:rPr>
                <w:rStyle w:val="Gl"/>
                <w:i/>
                <w:color w:val="212529"/>
                <w:sz w:val="16"/>
                <w:szCs w:val="16"/>
                <w:shd w:val="clear" w:color="auto" w:fill="FFFFFF"/>
              </w:rPr>
            </w:pPr>
            <w:proofErr w:type="spellStart"/>
            <w:r w:rsidRPr="00901D86">
              <w:rPr>
                <w:rStyle w:val="Gl"/>
                <w:i/>
                <w:color w:val="212529"/>
                <w:sz w:val="16"/>
                <w:szCs w:val="16"/>
                <w:shd w:val="clear" w:color="auto" w:fill="FFFFFF"/>
              </w:rPr>
              <w:t>Cariİşlemler</w:t>
            </w:r>
            <w:proofErr w:type="spellEnd"/>
            <w:r w:rsidRPr="00901D86">
              <w:rPr>
                <w:rStyle w:val="Gl"/>
                <w:i/>
                <w:color w:val="212529"/>
                <w:sz w:val="16"/>
                <w:szCs w:val="16"/>
                <w:shd w:val="clear" w:color="auto" w:fill="FFFFFF"/>
              </w:rPr>
              <w:t xml:space="preserve"> Dengesi (milyar $)</w:t>
            </w:r>
          </w:p>
        </w:tc>
        <w:tc>
          <w:tcPr>
            <w:tcW w:w="709"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54,25</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53,49</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58,88</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54,29</w:t>
            </w:r>
          </w:p>
        </w:tc>
        <w:tc>
          <w:tcPr>
            <w:tcW w:w="850"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50,94</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46,32</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41,16</w:t>
            </w:r>
          </w:p>
        </w:tc>
        <w:tc>
          <w:tcPr>
            <w:tcW w:w="88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36,51</w:t>
            </w:r>
          </w:p>
        </w:tc>
      </w:tr>
      <w:tr w:rsidR="00901D86" w:rsidTr="00901D86">
        <w:tc>
          <w:tcPr>
            <w:tcW w:w="1809" w:type="dxa"/>
          </w:tcPr>
          <w:p w:rsidR="00901D86" w:rsidRPr="00901D86" w:rsidRDefault="00901D86" w:rsidP="009572E2">
            <w:pPr>
              <w:pStyle w:val="Balk4"/>
              <w:spacing w:before="0" w:beforeAutospacing="0"/>
              <w:jc w:val="both"/>
              <w:outlineLvl w:val="3"/>
              <w:rPr>
                <w:rStyle w:val="Gl"/>
                <w:i/>
                <w:color w:val="212529"/>
                <w:sz w:val="16"/>
                <w:szCs w:val="16"/>
                <w:shd w:val="clear" w:color="auto" w:fill="FFFFFF"/>
              </w:rPr>
            </w:pPr>
            <w:proofErr w:type="spellStart"/>
            <w:r w:rsidRPr="00901D86">
              <w:rPr>
                <w:rStyle w:val="Gl"/>
                <w:i/>
                <w:color w:val="212529"/>
                <w:sz w:val="16"/>
                <w:szCs w:val="16"/>
                <w:shd w:val="clear" w:color="auto" w:fill="FFFFFF"/>
              </w:rPr>
              <w:t>Cariİşlemler</w:t>
            </w:r>
            <w:proofErr w:type="spellEnd"/>
            <w:r w:rsidRPr="00901D86">
              <w:rPr>
                <w:rStyle w:val="Gl"/>
                <w:i/>
                <w:color w:val="212529"/>
                <w:sz w:val="16"/>
                <w:szCs w:val="16"/>
                <w:shd w:val="clear" w:color="auto" w:fill="FFFFFF"/>
              </w:rPr>
              <w:t xml:space="preserve"> Dengesi (</w:t>
            </w:r>
            <w:proofErr w:type="spellStart"/>
            <w:r w:rsidRPr="00901D86">
              <w:rPr>
                <w:rStyle w:val="Gl"/>
                <w:i/>
                <w:color w:val="212529"/>
                <w:sz w:val="16"/>
                <w:szCs w:val="16"/>
                <w:shd w:val="clear" w:color="auto" w:fill="FFFFFF"/>
              </w:rPr>
              <w:t>GSYİH’ya</w:t>
            </w:r>
            <w:proofErr w:type="spellEnd"/>
            <w:r w:rsidRPr="00901D86">
              <w:rPr>
                <w:rStyle w:val="Gl"/>
                <w:i/>
                <w:color w:val="212529"/>
                <w:sz w:val="16"/>
                <w:szCs w:val="16"/>
                <w:shd w:val="clear" w:color="auto" w:fill="FFFFFF"/>
              </w:rPr>
              <w:t xml:space="preserve"> oranı, %)</w:t>
            </w:r>
          </w:p>
        </w:tc>
        <w:tc>
          <w:tcPr>
            <w:tcW w:w="709"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2,8</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2,6</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2,9</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2,6</w:t>
            </w:r>
          </w:p>
        </w:tc>
        <w:tc>
          <w:tcPr>
            <w:tcW w:w="850"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2,4</w:t>
            </w:r>
          </w:p>
        </w:tc>
        <w:tc>
          <w:tcPr>
            <w:tcW w:w="993"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2,1</w:t>
            </w:r>
          </w:p>
        </w:tc>
        <w:tc>
          <w:tcPr>
            <w:tcW w:w="99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1,8</w:t>
            </w:r>
          </w:p>
        </w:tc>
        <w:tc>
          <w:tcPr>
            <w:tcW w:w="882" w:type="dxa"/>
          </w:tcPr>
          <w:p w:rsidR="00901D86" w:rsidRPr="003B331F" w:rsidRDefault="003B331F" w:rsidP="009572E2">
            <w:pPr>
              <w:pStyle w:val="Balk4"/>
              <w:spacing w:before="0" w:beforeAutospacing="0"/>
              <w:jc w:val="both"/>
              <w:outlineLvl w:val="3"/>
              <w:rPr>
                <w:bCs w:val="0"/>
                <w:i/>
                <w:color w:val="212529"/>
                <w:sz w:val="16"/>
                <w:szCs w:val="16"/>
              </w:rPr>
            </w:pPr>
            <w:r w:rsidRPr="003B331F">
              <w:rPr>
                <w:bCs w:val="0"/>
                <w:i/>
                <w:color w:val="212529"/>
                <w:sz w:val="16"/>
                <w:szCs w:val="16"/>
              </w:rPr>
              <w:t>1,6</w:t>
            </w:r>
          </w:p>
        </w:tc>
      </w:tr>
    </w:tbl>
    <w:p w:rsidR="009572E2" w:rsidRDefault="003B331F" w:rsidP="009572E2">
      <w:pPr>
        <w:pStyle w:val="Balk4"/>
        <w:spacing w:before="0" w:beforeAutospacing="0"/>
        <w:jc w:val="both"/>
        <w:rPr>
          <w:b w:val="0"/>
          <w:bCs w:val="0"/>
          <w:i/>
          <w:color w:val="212529"/>
          <w:sz w:val="18"/>
          <w:szCs w:val="18"/>
        </w:rPr>
      </w:pPr>
      <w:r w:rsidRPr="003B331F">
        <w:rPr>
          <w:b w:val="0"/>
          <w:bCs w:val="0"/>
          <w:i/>
          <w:color w:val="212529"/>
          <w:sz w:val="18"/>
          <w:szCs w:val="18"/>
        </w:rPr>
        <w:t>Kaynak IMF</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Avrupa’nın 4. dünyanın 8. büyük ekonomisi olan İtalya, Avrupa Birliği’nin kurucu üyesidir. Ülke aynı zamanda ABD, Almanya, İngiltere, Fransa, Kanada, Japonya ve Rusya ile birlikte G8 adı verilen sanayileşmiş ülkeler grubuna </w:t>
      </w:r>
      <w:proofErr w:type="gramStart"/>
      <w:r w:rsidRPr="009A5170">
        <w:rPr>
          <w:i/>
          <w:color w:val="212529"/>
          <w:sz w:val="16"/>
          <w:szCs w:val="16"/>
        </w:rPr>
        <w:t>dahildir</w:t>
      </w:r>
      <w:proofErr w:type="gramEnd"/>
      <w:r w:rsidRPr="009A5170">
        <w:rPr>
          <w:i/>
          <w:color w:val="212529"/>
          <w:sz w:val="16"/>
          <w:szCs w:val="16"/>
        </w:rPr>
        <w:t>.</w:t>
      </w:r>
    </w:p>
    <w:p w:rsidR="003B331F" w:rsidRPr="009A5170" w:rsidRDefault="003B331F" w:rsidP="003B331F">
      <w:pPr>
        <w:pStyle w:val="NormalWeb"/>
        <w:spacing w:before="0" w:beforeAutospacing="0"/>
        <w:jc w:val="both"/>
        <w:rPr>
          <w:b/>
          <w:i/>
          <w:color w:val="212529"/>
          <w:sz w:val="28"/>
          <w:szCs w:val="28"/>
          <w:u w:val="single"/>
        </w:rPr>
      </w:pPr>
      <w:r w:rsidRPr="009A5170">
        <w:rPr>
          <w:b/>
          <w:i/>
          <w:color w:val="212529"/>
          <w:sz w:val="28"/>
          <w:szCs w:val="28"/>
          <w:u w:val="single"/>
        </w:rPr>
        <w:t>EKONOMİK YAPI</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İtalya güçlü ekonomik yapısını, diğer sanayileşmiş ülkelere oranla daha çok aile şirketi olan ve bu aileler tarafından yönetilen, sanayi grupları içerisinde bir araya gelmiş olan küçük ve orta ölçekli firmalara borçludur. Bu firmalar çeşitli kapital ve tüketim ürünleri kategorilerinde uzmanlıklar geliştirmişlerdir. Büyük ölçekli firmalar ise daha çok Kuzey ve Orta İtalya’da toplanırken Güney İtalya’da daha çok tarım ve turizm alanında faaliyet gösteren küçük işletmeler faaliyet göstermektedir.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 ekonomisinde imalat sektörü çok güçlüdür. İmalat sektöründe son 30 yıldır Avrupa’nın 2. dünyanın 6. büyük üreticisi, imalat sektörü ihracatında dünyada ticaret fazlası veren 5. Ülkesidir.  Ana sanayiler arasında otomotiv, gemi yapımı, kimyasallar, mobilya, giyim ve tekstil, deri eşya ve ayakkabı, gıda </w:t>
      </w:r>
      <w:proofErr w:type="gramStart"/>
      <w:r w:rsidRPr="009A5170">
        <w:rPr>
          <w:i/>
          <w:color w:val="212529"/>
          <w:sz w:val="16"/>
          <w:szCs w:val="16"/>
        </w:rPr>
        <w:t>prosesi</w:t>
      </w:r>
      <w:proofErr w:type="gramEnd"/>
      <w:r w:rsidRPr="009A5170">
        <w:rPr>
          <w:i/>
          <w:color w:val="212529"/>
          <w:sz w:val="16"/>
          <w:szCs w:val="16"/>
        </w:rPr>
        <w:t>, seramik ürünler, parçalar ve makineleri sayılabilir. Tekstil, mobilya ve beyaz eşya gibi önemli sektörlerdeki firmalar düşük maliyetle üretim yapan Çin firmaları karşısında zorlanmaktadırlar.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İtalyan ekonomisinin bir diğer gücü ise “sanayi bölgeleri” olarak adlandırılan ve aynı sektörde, her biri üretim aşamalarının başka bir dalında uzmanlaşmış birçok firmanın sıkı ekonomik ilişkiler içerisinde bir arada bulunduğu alanların gelişimidir. Bugün İtalya’da 200’den fazla sanayi bölgesi mevcuttur.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Ülke çok çeşitli ihracat yapısına sahip olup, belli başlı sektörlerdeki </w:t>
      </w:r>
      <w:proofErr w:type="gramStart"/>
      <w:r w:rsidRPr="009A5170">
        <w:rPr>
          <w:i/>
          <w:color w:val="212529"/>
          <w:sz w:val="16"/>
          <w:szCs w:val="16"/>
        </w:rPr>
        <w:t>global</w:t>
      </w:r>
      <w:proofErr w:type="gramEnd"/>
      <w:r w:rsidRPr="009A5170">
        <w:rPr>
          <w:i/>
          <w:color w:val="212529"/>
          <w:sz w:val="16"/>
          <w:szCs w:val="16"/>
        </w:rPr>
        <w:t xml:space="preserve"> rekabet gücü, </w:t>
      </w:r>
      <w:proofErr w:type="spellStart"/>
      <w:r w:rsidRPr="009A5170">
        <w:rPr>
          <w:i/>
          <w:color w:val="212529"/>
          <w:sz w:val="16"/>
          <w:szCs w:val="16"/>
        </w:rPr>
        <w:t>know</w:t>
      </w:r>
      <w:proofErr w:type="spellEnd"/>
      <w:r w:rsidRPr="009A5170">
        <w:rPr>
          <w:i/>
          <w:color w:val="212529"/>
          <w:sz w:val="16"/>
          <w:szCs w:val="16"/>
        </w:rPr>
        <w:t>-</w:t>
      </w:r>
      <w:proofErr w:type="spellStart"/>
      <w:r w:rsidRPr="009A5170">
        <w:rPr>
          <w:i/>
          <w:color w:val="212529"/>
          <w:sz w:val="16"/>
          <w:szCs w:val="16"/>
        </w:rPr>
        <w:t>how</w:t>
      </w:r>
      <w:proofErr w:type="spellEnd"/>
      <w:r w:rsidRPr="009A5170">
        <w:rPr>
          <w:i/>
          <w:color w:val="212529"/>
          <w:sz w:val="16"/>
          <w:szCs w:val="16"/>
        </w:rPr>
        <w:t xml:space="preserve"> üstünlüğü ve yenilikçilik “</w:t>
      </w:r>
      <w:proofErr w:type="spellStart"/>
      <w:r w:rsidRPr="009A5170">
        <w:rPr>
          <w:i/>
          <w:color w:val="212529"/>
          <w:sz w:val="16"/>
          <w:szCs w:val="16"/>
        </w:rPr>
        <w:t>Made</w:t>
      </w:r>
      <w:proofErr w:type="spellEnd"/>
      <w:r w:rsidRPr="009A5170">
        <w:rPr>
          <w:i/>
          <w:color w:val="212529"/>
          <w:sz w:val="16"/>
          <w:szCs w:val="16"/>
        </w:rPr>
        <w:t xml:space="preserve"> in </w:t>
      </w:r>
      <w:proofErr w:type="spellStart"/>
      <w:r w:rsidRPr="009A5170">
        <w:rPr>
          <w:i/>
          <w:color w:val="212529"/>
          <w:sz w:val="16"/>
          <w:szCs w:val="16"/>
        </w:rPr>
        <w:t>Italy</w:t>
      </w:r>
      <w:proofErr w:type="spellEnd"/>
      <w:r w:rsidRPr="009A5170">
        <w:rPr>
          <w:i/>
          <w:color w:val="212529"/>
          <w:sz w:val="16"/>
          <w:szCs w:val="16"/>
        </w:rPr>
        <w:t>” markasını oluşturmuştur.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Diğer AB ülkelerine kıyasla İtalya’da daha fazla bürokratik engeller, karar alma süreçlerinde gecikmeler, yavaş işleyen adalet sistemi, yolsuzluklar, ağır vergi yükü ve yüksek oranlı kamu harcamaları ile karşılaşılmaktadır.</w:t>
      </w:r>
    </w:p>
    <w:p w:rsidR="003B331F" w:rsidRPr="009A5170" w:rsidRDefault="003B331F" w:rsidP="003B331F">
      <w:pPr>
        <w:pStyle w:val="NormalWeb"/>
        <w:spacing w:before="0" w:beforeAutospacing="0"/>
        <w:jc w:val="both"/>
        <w:rPr>
          <w:b/>
          <w:i/>
          <w:color w:val="212529"/>
          <w:u w:val="single"/>
        </w:rPr>
      </w:pPr>
      <w:r w:rsidRPr="009A5170">
        <w:rPr>
          <w:b/>
          <w:i/>
          <w:color w:val="212529"/>
          <w:u w:val="single"/>
        </w:rPr>
        <w:t>EKONOMİK PERFORMANS</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İtalya, II. Dünya Savaşı sonrasında bir tarım ekonomisi olarak savaşın getirdiği ağır ekonomik çöküntüye maruz kalmıştır. Takip eden dönemde ABD’nin uyguladığı Marshall Planı ile sanayi tesislerini yeniden yapılandırma konusunda ihtiyaç duyduğu dış sermayeyi elde eden İtalyan ekonomisi, sanayi sektöründe istihdam edilecek işgücünü de ülkenin güney kesimlerinden gelen göçmenlerden karşılamıştır.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1950-1960 döneminde bu iki önemli itici gücün birleşmesi sonucunda zayıf bir tarımsal ekonomiden güçlü bir sanayileşmiş ekonomiye dönüşüm gerçekleştirilmiştir. Ayrıca 1957 yılında İtalya’nın Avrupa Ekonomik Topluluğu’na üyeliği de Avrupa’nın geri kalanıyla ekonomik </w:t>
      </w:r>
      <w:proofErr w:type="gramStart"/>
      <w:r w:rsidRPr="009A5170">
        <w:rPr>
          <w:i/>
          <w:color w:val="212529"/>
          <w:sz w:val="16"/>
          <w:szCs w:val="16"/>
        </w:rPr>
        <w:t>entegrasyonunu</w:t>
      </w:r>
      <w:proofErr w:type="gramEnd"/>
      <w:r w:rsidRPr="009A5170">
        <w:rPr>
          <w:i/>
          <w:color w:val="212529"/>
          <w:sz w:val="16"/>
          <w:szCs w:val="16"/>
        </w:rPr>
        <w:t xml:space="preserve"> hızlandırmıştır. Bu on yıl içerisinde ülkenin ortalama büyüme hızı 5,3 olarak gerçekleşmiştir. 1960 ve takip eden iki yıl boyunca da ortalama olarak yıllık % 6,3 oranında ekonomik büyüme gerçekleşmiş ve bu dönem daha sonraları İtalyan ekonomik mucizesi (il </w:t>
      </w:r>
      <w:proofErr w:type="spellStart"/>
      <w:r w:rsidRPr="009A5170">
        <w:rPr>
          <w:i/>
          <w:color w:val="212529"/>
          <w:sz w:val="16"/>
          <w:szCs w:val="16"/>
        </w:rPr>
        <w:t>boom</w:t>
      </w:r>
      <w:proofErr w:type="spellEnd"/>
      <w:r w:rsidRPr="009A5170">
        <w:rPr>
          <w:i/>
          <w:color w:val="212529"/>
          <w:sz w:val="16"/>
          <w:szCs w:val="16"/>
        </w:rPr>
        <w:t xml:space="preserve"> </w:t>
      </w:r>
      <w:proofErr w:type="spellStart"/>
      <w:r w:rsidRPr="009A5170">
        <w:rPr>
          <w:i/>
          <w:color w:val="212529"/>
          <w:sz w:val="16"/>
          <w:szCs w:val="16"/>
        </w:rPr>
        <w:t>economico</w:t>
      </w:r>
      <w:proofErr w:type="spellEnd"/>
      <w:r w:rsidRPr="009A5170">
        <w:rPr>
          <w:i/>
          <w:color w:val="212529"/>
          <w:sz w:val="16"/>
          <w:szCs w:val="16"/>
        </w:rPr>
        <w:t>) olarak anılmaya başlanmıştır.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1957 yılında AB’nin temelini oluşturan Avrupa Ekonomik Topluluğu (AET)’</w:t>
      </w:r>
      <w:proofErr w:type="spellStart"/>
      <w:r w:rsidRPr="009A5170">
        <w:rPr>
          <w:i/>
          <w:color w:val="212529"/>
          <w:sz w:val="16"/>
          <w:szCs w:val="16"/>
        </w:rPr>
        <w:t>nun</w:t>
      </w:r>
      <w:proofErr w:type="spellEnd"/>
      <w:r w:rsidRPr="009A5170">
        <w:rPr>
          <w:i/>
          <w:color w:val="212529"/>
          <w:sz w:val="16"/>
          <w:szCs w:val="16"/>
        </w:rPr>
        <w:t xml:space="preserve"> kurulmasıyla başlayan süreçte “Altılar” olarak anılan Fransa, Almanya, İtalya, Hollanda, Belçika ve Lüksemburg’un oluşturduğu gümrük birliği sayesinde aralarındaki ticareti sürekli olarak geliştiren söz konusu ülkeler aynı zamanda Avrupa’nın ekonomik gelişimine de hız kazandırmıştır.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İtalyan ekonomisi 2012’den beri devam eden mali sıkılaştırma politikalarının, zayıf iş dünyası ve tüketici güveni sonucu olarak daralan ekonomi 2015 yılında sınırlı da olsa bir iyileşme göstermiş (% 0,6), ekonomi 2016 yılında % 1, 2017’de de % 1,5 büyüme ile devam etmiştir.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 IMF 2018 yılı verilerine göre 191 ülke arasında 1,9 trilyon dolar GSYİH ile dünyanın 8. en büyük ekonomisidir. 2016 yılı verilerine göre ülkenin </w:t>
      </w:r>
      <w:proofErr w:type="spellStart"/>
      <w:r w:rsidRPr="009A5170">
        <w:rPr>
          <w:i/>
          <w:color w:val="212529"/>
          <w:sz w:val="16"/>
          <w:szCs w:val="16"/>
        </w:rPr>
        <w:t>GSYİH'sı</w:t>
      </w:r>
      <w:proofErr w:type="spellEnd"/>
      <w:r w:rsidRPr="009A5170">
        <w:rPr>
          <w:i/>
          <w:color w:val="212529"/>
          <w:sz w:val="16"/>
          <w:szCs w:val="16"/>
        </w:rPr>
        <w:t xml:space="preserve"> içinde tarım sektörünün payı % 2,1, sanayinin % 23,9 ve hizmetler sektörünün payı ise % 74 olarak görülmektedir.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lastRenderedPageBreak/>
        <w:t xml:space="preserve">2018 yılında cari fiyatlara göre, 2,2 trilyon dolar olacağı tahmin edilen </w:t>
      </w:r>
      <w:proofErr w:type="spellStart"/>
      <w:r w:rsidRPr="009A5170">
        <w:rPr>
          <w:i/>
          <w:color w:val="212529"/>
          <w:sz w:val="16"/>
          <w:szCs w:val="16"/>
        </w:rPr>
        <w:t>GSYİH’nın</w:t>
      </w:r>
      <w:proofErr w:type="spellEnd"/>
      <w:r w:rsidRPr="009A5170">
        <w:rPr>
          <w:i/>
          <w:color w:val="212529"/>
          <w:sz w:val="16"/>
          <w:szCs w:val="16"/>
        </w:rPr>
        <w:t xml:space="preserve">, 2019 yılında 2,3 ve 2024 yılında da 2,6 trilyon dolar olması beklenmektedir. 2017 yılında % 1,3 olan tüketici fiyatlarındaki yıllık ortalama enflasyon oranının, 2018 yılında % 1,1, 2019 yılında % 1,3 olacağı tahmin edilmektedir. 2017 yılında % 2,9 olan cari ödemeler dengesinin </w:t>
      </w:r>
      <w:proofErr w:type="spellStart"/>
      <w:r w:rsidRPr="009A5170">
        <w:rPr>
          <w:i/>
          <w:color w:val="212529"/>
          <w:sz w:val="16"/>
          <w:szCs w:val="16"/>
        </w:rPr>
        <w:t>GSYİH'ya</w:t>
      </w:r>
      <w:proofErr w:type="spellEnd"/>
      <w:r w:rsidRPr="009A5170">
        <w:rPr>
          <w:i/>
          <w:color w:val="212529"/>
          <w:sz w:val="16"/>
          <w:szCs w:val="16"/>
        </w:rPr>
        <w:t xml:space="preserve"> oranının, 2018 yılında % 2,6, 2019 yılında da % 2,2 ve 2024 yılında da % 0,9 olması beklenmektedir.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Cari fiyatlara göre İtalya, 2017 yılında 32.000 dolar, 2018 yılında da tahmini olarak 36.000 dolarlık kişi başına düşen milli gelir ile dünyada 27. sırada yer almaktadır.</w:t>
      </w:r>
    </w:p>
    <w:p w:rsidR="003B331F" w:rsidRPr="009A5170" w:rsidRDefault="003B331F" w:rsidP="003B331F">
      <w:pPr>
        <w:pStyle w:val="NormalWeb"/>
        <w:spacing w:before="0" w:beforeAutospacing="0"/>
        <w:jc w:val="both"/>
        <w:rPr>
          <w:i/>
          <w:color w:val="212529"/>
          <w:sz w:val="16"/>
          <w:szCs w:val="16"/>
        </w:rPr>
      </w:pPr>
      <w:proofErr w:type="spellStart"/>
      <w:r w:rsidRPr="009A5170">
        <w:rPr>
          <w:i/>
          <w:color w:val="212529"/>
          <w:sz w:val="16"/>
          <w:szCs w:val="16"/>
        </w:rPr>
        <w:t>The</w:t>
      </w:r>
      <w:proofErr w:type="spellEnd"/>
      <w:r w:rsidRPr="009A5170">
        <w:rPr>
          <w:i/>
          <w:color w:val="212529"/>
          <w:sz w:val="16"/>
          <w:szCs w:val="16"/>
        </w:rPr>
        <w:t xml:space="preserve"> </w:t>
      </w:r>
      <w:proofErr w:type="spellStart"/>
      <w:r w:rsidRPr="009A5170">
        <w:rPr>
          <w:i/>
          <w:color w:val="212529"/>
          <w:sz w:val="16"/>
          <w:szCs w:val="16"/>
        </w:rPr>
        <w:t>Heritage</w:t>
      </w:r>
      <w:proofErr w:type="spellEnd"/>
      <w:r w:rsidRPr="009A5170">
        <w:rPr>
          <w:i/>
          <w:color w:val="212529"/>
          <w:sz w:val="16"/>
          <w:szCs w:val="16"/>
        </w:rPr>
        <w:t xml:space="preserve"> </w:t>
      </w:r>
      <w:proofErr w:type="spellStart"/>
      <w:r w:rsidRPr="009A5170">
        <w:rPr>
          <w:i/>
          <w:color w:val="212529"/>
          <w:sz w:val="16"/>
          <w:szCs w:val="16"/>
        </w:rPr>
        <w:t>Foundation</w:t>
      </w:r>
      <w:proofErr w:type="spellEnd"/>
      <w:r w:rsidRPr="009A5170">
        <w:rPr>
          <w:i/>
          <w:color w:val="212529"/>
          <w:sz w:val="16"/>
          <w:szCs w:val="16"/>
        </w:rPr>
        <w:t xml:space="preserve"> tarafından yapılan 2018 Ekonomik Serbesti Endeksine göre (</w:t>
      </w:r>
      <w:proofErr w:type="spellStart"/>
      <w:r w:rsidRPr="009A5170">
        <w:rPr>
          <w:i/>
          <w:color w:val="212529"/>
          <w:sz w:val="16"/>
          <w:szCs w:val="16"/>
        </w:rPr>
        <w:t>Index</w:t>
      </w:r>
      <w:proofErr w:type="spellEnd"/>
      <w:r w:rsidRPr="009A5170">
        <w:rPr>
          <w:i/>
          <w:color w:val="212529"/>
          <w:sz w:val="16"/>
          <w:szCs w:val="16"/>
        </w:rPr>
        <w:t xml:space="preserve"> of </w:t>
      </w:r>
      <w:proofErr w:type="spellStart"/>
      <w:r w:rsidRPr="009A5170">
        <w:rPr>
          <w:i/>
          <w:color w:val="212529"/>
          <w:sz w:val="16"/>
          <w:szCs w:val="16"/>
        </w:rPr>
        <w:t>Economic</w:t>
      </w:r>
      <w:proofErr w:type="spellEnd"/>
      <w:r w:rsidRPr="009A5170">
        <w:rPr>
          <w:i/>
          <w:color w:val="212529"/>
          <w:sz w:val="16"/>
          <w:szCs w:val="16"/>
        </w:rPr>
        <w:t xml:space="preserve"> </w:t>
      </w:r>
      <w:proofErr w:type="spellStart"/>
      <w:r w:rsidRPr="009A5170">
        <w:rPr>
          <w:i/>
          <w:color w:val="212529"/>
          <w:sz w:val="16"/>
          <w:szCs w:val="16"/>
        </w:rPr>
        <w:t>Freedom</w:t>
      </w:r>
      <w:proofErr w:type="spellEnd"/>
      <w:r w:rsidRPr="009A5170">
        <w:rPr>
          <w:i/>
          <w:color w:val="212529"/>
          <w:sz w:val="16"/>
          <w:szCs w:val="16"/>
        </w:rPr>
        <w:t>) İtalya dünyada 180 ülke arasında 79. sırada yer almaktadır. Ülke, İnsani Gelişmişlik Endeksine göre dünyada 185 ülke arasında 26. sırada, Küresel Rekabetçilik açısından dünyadaki 137 ülke arasında 43. sırada, İş Yapma Kolaylığı açısından da dünyada 190 ülke arasında 46. sırada bulunmaktadır.</w:t>
      </w:r>
    </w:p>
    <w:p w:rsidR="003B331F" w:rsidRPr="009A5170" w:rsidRDefault="003B331F" w:rsidP="003B331F">
      <w:pPr>
        <w:pStyle w:val="NormalWeb"/>
        <w:spacing w:before="0" w:beforeAutospacing="0"/>
        <w:jc w:val="both"/>
        <w:rPr>
          <w:i/>
          <w:color w:val="212529"/>
          <w:sz w:val="16"/>
          <w:szCs w:val="16"/>
        </w:rPr>
      </w:pPr>
    </w:p>
    <w:p w:rsidR="003B331F" w:rsidRPr="003B331F" w:rsidRDefault="003B331F" w:rsidP="003B331F">
      <w:pPr>
        <w:pStyle w:val="NormalWeb"/>
        <w:spacing w:before="0" w:beforeAutospacing="0"/>
        <w:jc w:val="both"/>
        <w:rPr>
          <w:i/>
          <w:color w:val="212529"/>
          <w:sz w:val="20"/>
          <w:szCs w:val="20"/>
        </w:rPr>
      </w:pPr>
    </w:p>
    <w:p w:rsidR="003B331F" w:rsidRDefault="003B331F" w:rsidP="003B331F">
      <w:pPr>
        <w:pStyle w:val="Balk2"/>
        <w:shd w:val="clear" w:color="auto" w:fill="F1F1F1"/>
        <w:spacing w:before="0" w:after="139"/>
        <w:rPr>
          <w:rFonts w:ascii="Arial" w:hAnsi="Arial" w:cs="Arial"/>
          <w:color w:val="09376B"/>
          <w:sz w:val="24"/>
          <w:szCs w:val="24"/>
        </w:rPr>
      </w:pPr>
      <w:r>
        <w:rPr>
          <w:rFonts w:ascii="Arial" w:hAnsi="Arial" w:cs="Arial"/>
          <w:color w:val="09376B"/>
          <w:sz w:val="24"/>
          <w:szCs w:val="24"/>
        </w:rPr>
        <w:t>Doğrudan Yabancı Yatırımlar</w:t>
      </w:r>
    </w:p>
    <w:p w:rsidR="003B331F" w:rsidRDefault="003B331F" w:rsidP="003B331F">
      <w:pPr>
        <w:pStyle w:val="Balk4"/>
        <w:spacing w:before="0" w:beforeAutospacing="0"/>
        <w:jc w:val="both"/>
        <w:rPr>
          <w:bCs w:val="0"/>
          <w:i/>
          <w:color w:val="212529"/>
          <w:sz w:val="20"/>
          <w:szCs w:val="20"/>
        </w:rPr>
      </w:pPr>
      <w:r w:rsidRPr="003B331F">
        <w:rPr>
          <w:bCs w:val="0"/>
          <w:i/>
          <w:color w:val="212529"/>
          <w:sz w:val="20"/>
          <w:szCs w:val="20"/>
        </w:rPr>
        <w:t>Doğrudan Yabancı Yatırımların Görünümü</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İtalya’ya 2017 yılında 20 milyar dolar civarında yabancı yatırım girişi olmuş, İtalyan firmalar ise yurtdışına 6,7 milyar dolarlık yatırım yapmışlardır.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İtalya’da 2017 yılı itibariyle toplam yabancı yatırım </w:t>
      </w:r>
      <w:proofErr w:type="spellStart"/>
      <w:r w:rsidRPr="009A5170">
        <w:rPr>
          <w:i/>
          <w:color w:val="212529"/>
          <w:sz w:val="16"/>
          <w:szCs w:val="16"/>
        </w:rPr>
        <w:t>stoğu</w:t>
      </w:r>
      <w:proofErr w:type="spellEnd"/>
      <w:r w:rsidRPr="009A5170">
        <w:rPr>
          <w:i/>
          <w:color w:val="212529"/>
          <w:sz w:val="16"/>
          <w:szCs w:val="16"/>
        </w:rPr>
        <w:t xml:space="preserve"> 552 milyar doları geçmiş ve </w:t>
      </w:r>
      <w:proofErr w:type="spellStart"/>
      <w:r w:rsidRPr="009A5170">
        <w:rPr>
          <w:i/>
          <w:color w:val="212529"/>
          <w:sz w:val="16"/>
          <w:szCs w:val="16"/>
        </w:rPr>
        <w:t>GSYİH’nın</w:t>
      </w:r>
      <w:proofErr w:type="spellEnd"/>
      <w:r w:rsidRPr="009A5170">
        <w:rPr>
          <w:i/>
          <w:color w:val="212529"/>
          <w:sz w:val="16"/>
          <w:szCs w:val="16"/>
        </w:rPr>
        <w:t xml:space="preserve"> % 28,4’ünü oluşturmuştur. 2017’de kişi başına düşen yabancı yatırım miktarı ise 9.000 dolardır (</w:t>
      </w:r>
      <w:proofErr w:type="spellStart"/>
      <w:r w:rsidRPr="009A5170">
        <w:rPr>
          <w:i/>
          <w:color w:val="212529"/>
          <w:sz w:val="16"/>
          <w:szCs w:val="16"/>
        </w:rPr>
        <w:t>The</w:t>
      </w:r>
      <w:proofErr w:type="spellEnd"/>
      <w:r w:rsidRPr="009A5170">
        <w:rPr>
          <w:i/>
          <w:color w:val="212529"/>
          <w:sz w:val="16"/>
          <w:szCs w:val="16"/>
        </w:rPr>
        <w:t xml:space="preserve"> </w:t>
      </w:r>
      <w:proofErr w:type="spellStart"/>
      <w:r w:rsidRPr="009A5170">
        <w:rPr>
          <w:i/>
          <w:color w:val="212529"/>
          <w:sz w:val="16"/>
          <w:szCs w:val="16"/>
        </w:rPr>
        <w:t>Economist</w:t>
      </w:r>
      <w:proofErr w:type="spellEnd"/>
      <w:r w:rsidRPr="009A5170">
        <w:rPr>
          <w:i/>
          <w:color w:val="212529"/>
          <w:sz w:val="16"/>
          <w:szCs w:val="16"/>
        </w:rPr>
        <w:t xml:space="preserve"> </w:t>
      </w:r>
      <w:proofErr w:type="spellStart"/>
      <w:r w:rsidRPr="009A5170">
        <w:rPr>
          <w:i/>
          <w:color w:val="212529"/>
          <w:sz w:val="16"/>
          <w:szCs w:val="16"/>
        </w:rPr>
        <w:t>Intelligence</w:t>
      </w:r>
      <w:proofErr w:type="spellEnd"/>
      <w:r w:rsidRPr="009A5170">
        <w:rPr>
          <w:i/>
          <w:color w:val="212529"/>
          <w:sz w:val="16"/>
          <w:szCs w:val="16"/>
        </w:rPr>
        <w:t xml:space="preserve"> </w:t>
      </w:r>
      <w:proofErr w:type="spellStart"/>
      <w:r w:rsidRPr="009A5170">
        <w:rPr>
          <w:i/>
          <w:color w:val="212529"/>
          <w:sz w:val="16"/>
          <w:szCs w:val="16"/>
        </w:rPr>
        <w:t>Unit</w:t>
      </w:r>
      <w:proofErr w:type="spellEnd"/>
      <w:r w:rsidRPr="009A5170">
        <w:rPr>
          <w:i/>
          <w:color w:val="212529"/>
          <w:sz w:val="16"/>
          <w:szCs w:val="16"/>
        </w:rPr>
        <w:t>).</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2018 yılında %17,7 olacağı tahmin edilen ülkedeki toplam yatırımların </w:t>
      </w:r>
      <w:proofErr w:type="spellStart"/>
      <w:r w:rsidRPr="009A5170">
        <w:rPr>
          <w:i/>
          <w:color w:val="212529"/>
          <w:sz w:val="16"/>
          <w:szCs w:val="16"/>
        </w:rPr>
        <w:t>GSYİH'ya</w:t>
      </w:r>
      <w:proofErr w:type="spellEnd"/>
      <w:r w:rsidRPr="009A5170">
        <w:rPr>
          <w:i/>
          <w:color w:val="212529"/>
          <w:sz w:val="16"/>
          <w:szCs w:val="16"/>
        </w:rPr>
        <w:t xml:space="preserve"> oranının, 2019 yılında %17,9 ve 2023 yılında %18,8 olması beklenmektedir (IMF-Nisan 2018).</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 2016 yılında 29 milyar $ ile doğrudan yabancı yatırım çeken ülkeler arasında 15. sırada bulunmaktadır (UNCTAD). 2014-2016 döneminde toplam doğrudan yabancı yatırım miktarı 71,5 milyar dolar olan ülke, 2016 yılında 346,4 milyar dolarlık toplam yabancı sermaye </w:t>
      </w:r>
      <w:proofErr w:type="spellStart"/>
      <w:r w:rsidRPr="009A5170">
        <w:rPr>
          <w:i/>
          <w:color w:val="212529"/>
          <w:sz w:val="16"/>
          <w:szCs w:val="16"/>
        </w:rPr>
        <w:t>stoğu</w:t>
      </w:r>
      <w:proofErr w:type="spellEnd"/>
      <w:r w:rsidRPr="009A5170">
        <w:rPr>
          <w:i/>
          <w:color w:val="212529"/>
          <w:sz w:val="16"/>
          <w:szCs w:val="16"/>
        </w:rPr>
        <w:t xml:space="preserve"> ile dünyada 20. sıradadır  (UNCTAD).</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Milano’da 2015 yılında düzenlenen </w:t>
      </w:r>
      <w:proofErr w:type="spellStart"/>
      <w:r w:rsidRPr="009A5170">
        <w:rPr>
          <w:i/>
          <w:color w:val="212529"/>
          <w:sz w:val="16"/>
          <w:szCs w:val="16"/>
        </w:rPr>
        <w:t>Expo</w:t>
      </w:r>
      <w:proofErr w:type="spellEnd"/>
      <w:r w:rsidRPr="009A5170">
        <w:rPr>
          <w:i/>
          <w:color w:val="212529"/>
          <w:sz w:val="16"/>
          <w:szCs w:val="16"/>
        </w:rPr>
        <w:t xml:space="preserve"> Fuarı, Bölgede 3,2 milyar avroluk geniş çaplı bir yatırım faaliyetine yol açmıştır. 1,1 milyon m2’lik bir alanda 1 Mayıs 2015’te açılan ve 31 Ekim 2015’te resmi kapanışı yapılan fuarı 21 milyona yakın kişi ziyaret etmiştir. “Gezegeni Beslemek, Yaşam İçin Enerji” teması altında gerçekleşen fuara resmi olarak 145 ülke ve 3 uluslararası örgüt katılım sağlamıştır.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İtalya Ekonomik Kalkınma Bakanlığı bünyesindeki İtalyan Yatırım Ajansı-</w:t>
      </w:r>
      <w:proofErr w:type="spellStart"/>
      <w:r w:rsidRPr="009A5170">
        <w:rPr>
          <w:i/>
          <w:color w:val="212529"/>
          <w:sz w:val="16"/>
          <w:szCs w:val="16"/>
        </w:rPr>
        <w:t>Invest</w:t>
      </w:r>
      <w:proofErr w:type="spellEnd"/>
      <w:r w:rsidRPr="009A5170">
        <w:rPr>
          <w:i/>
          <w:color w:val="212529"/>
          <w:sz w:val="16"/>
          <w:szCs w:val="16"/>
        </w:rPr>
        <w:t xml:space="preserve"> in </w:t>
      </w:r>
      <w:proofErr w:type="spellStart"/>
      <w:r w:rsidRPr="009A5170">
        <w:rPr>
          <w:i/>
          <w:color w:val="212529"/>
          <w:sz w:val="16"/>
          <w:szCs w:val="16"/>
        </w:rPr>
        <w:t>Italy</w:t>
      </w:r>
      <w:proofErr w:type="spellEnd"/>
      <w:r w:rsidRPr="009A5170">
        <w:rPr>
          <w:i/>
          <w:color w:val="212529"/>
          <w:sz w:val="16"/>
          <w:szCs w:val="16"/>
        </w:rPr>
        <w:t>, bugün dünyanın 9 yerinde bulunan tanıtım ofislerinin ilkini İstanbul'da yerleşik İtalya Ticaret Ofisi'nde (ICE-ITA) 2015 yılında açmış, bunu Londra, New York, Singapur, Tokyo, Dubai, San Francisco, Pekin ve Hong Kong izlemiştir.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 Almanya'dan sonra Avrupa'nın ikinci, dünyanın da 8. en büyük imalatçısıdır. Ayrıca G-20 ülkeleri arasında imalat sanayi ticaretinde fazla veren beşinci ülkedir. Makine üretiminde yine Almanya'dan sonra ikinci, ilaç </w:t>
      </w:r>
      <w:proofErr w:type="spellStart"/>
      <w:r w:rsidRPr="009A5170">
        <w:rPr>
          <w:i/>
          <w:color w:val="212529"/>
          <w:sz w:val="16"/>
          <w:szCs w:val="16"/>
        </w:rPr>
        <w:t>sanayiinde</w:t>
      </w:r>
      <w:proofErr w:type="spellEnd"/>
      <w:r w:rsidRPr="009A5170">
        <w:rPr>
          <w:i/>
          <w:color w:val="212529"/>
          <w:sz w:val="16"/>
          <w:szCs w:val="16"/>
        </w:rPr>
        <w:t xml:space="preserve"> de Avrupa'nın üçüncü en büyük üreticisidir.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Yatırımlarda Öncelikli Alanlar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Devlet yardımları yoğunlukla </w:t>
      </w:r>
      <w:proofErr w:type="spellStart"/>
      <w:r w:rsidRPr="009A5170">
        <w:rPr>
          <w:i/>
          <w:color w:val="212529"/>
          <w:sz w:val="16"/>
          <w:szCs w:val="16"/>
        </w:rPr>
        <w:t>itlaya</w:t>
      </w:r>
      <w:proofErr w:type="spellEnd"/>
      <w:r w:rsidRPr="009A5170">
        <w:rPr>
          <w:i/>
          <w:color w:val="212529"/>
          <w:sz w:val="16"/>
          <w:szCs w:val="16"/>
        </w:rPr>
        <w:t xml:space="preserve"> içerisinde nispi olarak az </w:t>
      </w:r>
      <w:proofErr w:type="spellStart"/>
      <w:r w:rsidRPr="009A5170">
        <w:rPr>
          <w:i/>
          <w:color w:val="212529"/>
          <w:sz w:val="16"/>
          <w:szCs w:val="16"/>
        </w:rPr>
        <w:t>gelişmis</w:t>
      </w:r>
      <w:proofErr w:type="spellEnd"/>
      <w:r w:rsidRPr="009A5170">
        <w:rPr>
          <w:i/>
          <w:color w:val="212529"/>
          <w:sz w:val="16"/>
          <w:szCs w:val="16"/>
        </w:rPr>
        <w:t xml:space="preserve"> olan, AB </w:t>
      </w:r>
      <w:proofErr w:type="gramStart"/>
      <w:r w:rsidRPr="009A5170">
        <w:rPr>
          <w:i/>
          <w:color w:val="212529"/>
          <w:sz w:val="16"/>
          <w:szCs w:val="16"/>
        </w:rPr>
        <w:t>kriterlerine</w:t>
      </w:r>
      <w:proofErr w:type="gramEnd"/>
      <w:r w:rsidRPr="009A5170">
        <w:rPr>
          <w:i/>
          <w:color w:val="212529"/>
          <w:sz w:val="16"/>
          <w:szCs w:val="16"/>
        </w:rPr>
        <w:t xml:space="preserve"> göre birinci derecede öncelikli olarak nitelen (</w:t>
      </w:r>
      <w:proofErr w:type="spellStart"/>
      <w:r w:rsidRPr="009A5170">
        <w:rPr>
          <w:i/>
          <w:color w:val="212529"/>
          <w:sz w:val="16"/>
          <w:szCs w:val="16"/>
        </w:rPr>
        <w:t>Objective</w:t>
      </w:r>
      <w:proofErr w:type="spellEnd"/>
      <w:r w:rsidRPr="009A5170">
        <w:rPr>
          <w:i/>
          <w:color w:val="212529"/>
          <w:sz w:val="16"/>
          <w:szCs w:val="16"/>
        </w:rPr>
        <w:t xml:space="preserve"> 1) Altı coğrafi Bölgede yoğunlaşmaktadır (</w:t>
      </w:r>
      <w:proofErr w:type="spellStart"/>
      <w:r w:rsidRPr="009A5170">
        <w:rPr>
          <w:i/>
          <w:color w:val="212529"/>
          <w:sz w:val="16"/>
          <w:szCs w:val="16"/>
        </w:rPr>
        <w:t>Basilicata</w:t>
      </w:r>
      <w:proofErr w:type="spellEnd"/>
      <w:r w:rsidRPr="009A5170">
        <w:rPr>
          <w:i/>
          <w:color w:val="212529"/>
          <w:sz w:val="16"/>
          <w:szCs w:val="16"/>
        </w:rPr>
        <w:t xml:space="preserve">, </w:t>
      </w:r>
      <w:proofErr w:type="spellStart"/>
      <w:r w:rsidRPr="009A5170">
        <w:rPr>
          <w:i/>
          <w:color w:val="212529"/>
          <w:sz w:val="16"/>
          <w:szCs w:val="16"/>
        </w:rPr>
        <w:t>Calabria</w:t>
      </w:r>
      <w:proofErr w:type="spellEnd"/>
      <w:r w:rsidRPr="009A5170">
        <w:rPr>
          <w:i/>
          <w:color w:val="212529"/>
          <w:sz w:val="16"/>
          <w:szCs w:val="16"/>
        </w:rPr>
        <w:t xml:space="preserve">, </w:t>
      </w:r>
      <w:proofErr w:type="spellStart"/>
      <w:r w:rsidRPr="009A5170">
        <w:rPr>
          <w:i/>
          <w:color w:val="212529"/>
          <w:sz w:val="16"/>
          <w:szCs w:val="16"/>
        </w:rPr>
        <w:t>Campania</w:t>
      </w:r>
      <w:proofErr w:type="spellEnd"/>
      <w:r w:rsidRPr="009A5170">
        <w:rPr>
          <w:i/>
          <w:color w:val="212529"/>
          <w:sz w:val="16"/>
          <w:szCs w:val="16"/>
        </w:rPr>
        <w:t xml:space="preserve">, </w:t>
      </w:r>
      <w:proofErr w:type="spellStart"/>
      <w:r w:rsidRPr="009A5170">
        <w:rPr>
          <w:i/>
          <w:color w:val="212529"/>
          <w:sz w:val="16"/>
          <w:szCs w:val="16"/>
        </w:rPr>
        <w:t>Puglia</w:t>
      </w:r>
      <w:proofErr w:type="spellEnd"/>
      <w:r w:rsidRPr="009A5170">
        <w:rPr>
          <w:i/>
          <w:color w:val="212529"/>
          <w:sz w:val="16"/>
          <w:szCs w:val="16"/>
        </w:rPr>
        <w:t xml:space="preserve">, </w:t>
      </w:r>
      <w:proofErr w:type="spellStart"/>
      <w:r w:rsidRPr="009A5170">
        <w:rPr>
          <w:i/>
          <w:color w:val="212529"/>
          <w:sz w:val="16"/>
          <w:szCs w:val="16"/>
        </w:rPr>
        <w:t>Sardegna</w:t>
      </w:r>
      <w:proofErr w:type="spellEnd"/>
      <w:r w:rsidRPr="009A5170">
        <w:rPr>
          <w:i/>
          <w:color w:val="212529"/>
          <w:sz w:val="16"/>
          <w:szCs w:val="16"/>
        </w:rPr>
        <w:t xml:space="preserve"> </w:t>
      </w:r>
      <w:proofErr w:type="spellStart"/>
      <w:r w:rsidRPr="009A5170">
        <w:rPr>
          <w:i/>
          <w:color w:val="212529"/>
          <w:sz w:val="16"/>
          <w:szCs w:val="16"/>
        </w:rPr>
        <w:t>and</w:t>
      </w:r>
      <w:proofErr w:type="spellEnd"/>
      <w:r w:rsidRPr="009A5170">
        <w:rPr>
          <w:i/>
          <w:color w:val="212529"/>
          <w:sz w:val="16"/>
          <w:szCs w:val="16"/>
        </w:rPr>
        <w:t xml:space="preserve"> </w:t>
      </w:r>
      <w:proofErr w:type="spellStart"/>
      <w:r w:rsidRPr="009A5170">
        <w:rPr>
          <w:i/>
          <w:color w:val="212529"/>
          <w:sz w:val="16"/>
          <w:szCs w:val="16"/>
        </w:rPr>
        <w:t>Sicilia</w:t>
      </w:r>
      <w:proofErr w:type="spellEnd"/>
      <w:r w:rsidRPr="009A5170">
        <w:rPr>
          <w:i/>
          <w:color w:val="212529"/>
          <w:sz w:val="16"/>
          <w:szCs w:val="16"/>
        </w:rPr>
        <w:t xml:space="preserve">). Ayrıca, </w:t>
      </w:r>
      <w:proofErr w:type="spellStart"/>
      <w:r w:rsidRPr="009A5170">
        <w:rPr>
          <w:i/>
          <w:color w:val="212529"/>
          <w:sz w:val="16"/>
          <w:szCs w:val="16"/>
        </w:rPr>
        <w:t>Abruzzo</w:t>
      </w:r>
      <w:proofErr w:type="spellEnd"/>
      <w:r w:rsidRPr="009A5170">
        <w:rPr>
          <w:i/>
          <w:color w:val="212529"/>
          <w:sz w:val="16"/>
          <w:szCs w:val="16"/>
        </w:rPr>
        <w:t xml:space="preserve">, </w:t>
      </w:r>
      <w:proofErr w:type="spellStart"/>
      <w:r w:rsidRPr="009A5170">
        <w:rPr>
          <w:i/>
          <w:color w:val="212529"/>
          <w:sz w:val="16"/>
          <w:szCs w:val="16"/>
        </w:rPr>
        <w:t>Molise</w:t>
      </w:r>
      <w:proofErr w:type="spellEnd"/>
      <w:r w:rsidRPr="009A5170">
        <w:rPr>
          <w:i/>
          <w:color w:val="212529"/>
          <w:sz w:val="16"/>
          <w:szCs w:val="16"/>
        </w:rPr>
        <w:t xml:space="preserve"> ve Orta ve kuzey </w:t>
      </w:r>
      <w:proofErr w:type="spellStart"/>
      <w:r w:rsidRPr="009A5170">
        <w:rPr>
          <w:i/>
          <w:color w:val="212529"/>
          <w:sz w:val="16"/>
          <w:szCs w:val="16"/>
        </w:rPr>
        <w:t>İtalayada</w:t>
      </w:r>
      <w:proofErr w:type="spellEnd"/>
      <w:r w:rsidRPr="009A5170">
        <w:rPr>
          <w:i/>
          <w:color w:val="212529"/>
          <w:sz w:val="16"/>
          <w:szCs w:val="16"/>
        </w:rPr>
        <w:t xml:space="preserve"> bulunan kalkınma ihtiyacı içerisindeki "</w:t>
      </w:r>
      <w:proofErr w:type="spellStart"/>
      <w:r w:rsidRPr="009A5170">
        <w:rPr>
          <w:i/>
          <w:color w:val="212529"/>
          <w:sz w:val="16"/>
          <w:szCs w:val="16"/>
        </w:rPr>
        <w:t>objective</w:t>
      </w:r>
      <w:proofErr w:type="spellEnd"/>
      <w:r w:rsidRPr="009A5170">
        <w:rPr>
          <w:i/>
          <w:color w:val="212529"/>
          <w:sz w:val="16"/>
          <w:szCs w:val="16"/>
        </w:rPr>
        <w:t xml:space="preserve"> 2" bazı özel bölgeler yardımlardan öncelikle yararlanmaktadır.</w:t>
      </w:r>
    </w:p>
    <w:p w:rsidR="003B331F" w:rsidRPr="009A5170" w:rsidRDefault="003B331F" w:rsidP="003B331F">
      <w:pPr>
        <w:pStyle w:val="Balk4"/>
        <w:spacing w:before="0" w:beforeAutospacing="0"/>
        <w:jc w:val="both"/>
        <w:rPr>
          <w:bCs w:val="0"/>
          <w:i/>
          <w:color w:val="212529"/>
          <w:sz w:val="22"/>
          <w:szCs w:val="22"/>
          <w:u w:val="single"/>
        </w:rPr>
      </w:pPr>
      <w:r w:rsidRPr="009A5170">
        <w:rPr>
          <w:bCs w:val="0"/>
          <w:i/>
          <w:color w:val="212529"/>
          <w:sz w:val="22"/>
          <w:szCs w:val="22"/>
          <w:u w:val="single"/>
        </w:rPr>
        <w:t>Ülkedeki Serbest Bölgeler (Özel Ekonomik Bölgeler)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İtalya’da sadece iki adet serbest ticaret bölgesi bulunmaktadır. Bunlar Venedik Limanı ve </w:t>
      </w:r>
      <w:proofErr w:type="spellStart"/>
      <w:r w:rsidRPr="009A5170">
        <w:rPr>
          <w:i/>
          <w:color w:val="212529"/>
          <w:sz w:val="16"/>
          <w:szCs w:val="16"/>
        </w:rPr>
        <w:t>Trieste</w:t>
      </w:r>
      <w:proofErr w:type="spellEnd"/>
      <w:r w:rsidRPr="009A5170">
        <w:rPr>
          <w:i/>
          <w:color w:val="212529"/>
          <w:sz w:val="16"/>
          <w:szCs w:val="16"/>
        </w:rPr>
        <w:t xml:space="preserve"> Limanı’dır.</w:t>
      </w:r>
    </w:p>
    <w:p w:rsidR="009A5170" w:rsidRDefault="009A5170" w:rsidP="003B331F">
      <w:pPr>
        <w:pStyle w:val="Balk4"/>
        <w:spacing w:before="0" w:beforeAutospacing="0"/>
        <w:jc w:val="both"/>
        <w:rPr>
          <w:bCs w:val="0"/>
          <w:i/>
          <w:color w:val="212529"/>
          <w:sz w:val="22"/>
          <w:szCs w:val="22"/>
        </w:rPr>
      </w:pPr>
    </w:p>
    <w:p w:rsidR="003B331F" w:rsidRPr="009A5170" w:rsidRDefault="003B331F" w:rsidP="003B331F">
      <w:pPr>
        <w:pStyle w:val="Balk4"/>
        <w:spacing w:before="0" w:beforeAutospacing="0"/>
        <w:jc w:val="both"/>
        <w:rPr>
          <w:bCs w:val="0"/>
          <w:i/>
          <w:color w:val="212529"/>
          <w:sz w:val="22"/>
          <w:szCs w:val="22"/>
          <w:u w:val="single"/>
        </w:rPr>
      </w:pPr>
      <w:r w:rsidRPr="009A5170">
        <w:rPr>
          <w:bCs w:val="0"/>
          <w:i/>
          <w:color w:val="212529"/>
          <w:sz w:val="22"/>
          <w:szCs w:val="22"/>
          <w:u w:val="single"/>
        </w:rPr>
        <w:t>Ülkede İş Kurma Mevzuatı</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t xml:space="preserve">İtalya'da pek çok yabancı firma ürünlerinin dağıtım ve pazarlaması için yatırım yapmaktadır. İhracat doğrudan aracısız yapılabildiği gibi, İtalya pazarında ürünlerin sunumu, bağımsız </w:t>
      </w:r>
      <w:proofErr w:type="spellStart"/>
      <w:r w:rsidRPr="009A5170">
        <w:rPr>
          <w:i/>
          <w:color w:val="212529"/>
          <w:sz w:val="16"/>
          <w:szCs w:val="16"/>
        </w:rPr>
        <w:t>acenta</w:t>
      </w:r>
      <w:proofErr w:type="spellEnd"/>
      <w:r w:rsidRPr="009A5170">
        <w:rPr>
          <w:i/>
          <w:color w:val="212529"/>
          <w:sz w:val="16"/>
          <w:szCs w:val="16"/>
        </w:rPr>
        <w:t xml:space="preserve"> ve komisyoncular </w:t>
      </w:r>
      <w:proofErr w:type="gramStart"/>
      <w:r w:rsidRPr="009A5170">
        <w:rPr>
          <w:i/>
          <w:color w:val="212529"/>
          <w:sz w:val="16"/>
          <w:szCs w:val="16"/>
        </w:rPr>
        <w:t>yada</w:t>
      </w:r>
      <w:proofErr w:type="gramEnd"/>
      <w:r w:rsidRPr="009A5170">
        <w:rPr>
          <w:i/>
          <w:color w:val="212529"/>
          <w:sz w:val="16"/>
          <w:szCs w:val="16"/>
        </w:rPr>
        <w:t xml:space="preserve"> yetkili </w:t>
      </w:r>
      <w:proofErr w:type="spellStart"/>
      <w:r w:rsidRPr="009A5170">
        <w:rPr>
          <w:i/>
          <w:color w:val="212529"/>
          <w:sz w:val="16"/>
          <w:szCs w:val="16"/>
        </w:rPr>
        <w:t>acenta</w:t>
      </w:r>
      <w:proofErr w:type="spellEnd"/>
      <w:r w:rsidRPr="009A5170">
        <w:rPr>
          <w:i/>
          <w:color w:val="212529"/>
          <w:sz w:val="16"/>
          <w:szCs w:val="16"/>
        </w:rPr>
        <w:t xml:space="preserve"> ve distribütörler aracılığıyla yapılmaktadır. Ayrıca, yabancı firmaların şube </w:t>
      </w:r>
      <w:proofErr w:type="gramStart"/>
      <w:r w:rsidRPr="009A5170">
        <w:rPr>
          <w:i/>
          <w:color w:val="212529"/>
          <w:sz w:val="16"/>
          <w:szCs w:val="16"/>
        </w:rPr>
        <w:t>yada</w:t>
      </w:r>
      <w:proofErr w:type="gramEnd"/>
      <w:r w:rsidRPr="009A5170">
        <w:rPr>
          <w:i/>
          <w:color w:val="212529"/>
          <w:sz w:val="16"/>
          <w:szCs w:val="16"/>
        </w:rPr>
        <w:t xml:space="preserve"> temsilcilik ofisi açması, </w:t>
      </w:r>
      <w:proofErr w:type="spellStart"/>
      <w:r w:rsidRPr="009A5170">
        <w:rPr>
          <w:i/>
          <w:color w:val="212529"/>
          <w:sz w:val="16"/>
          <w:szCs w:val="16"/>
        </w:rPr>
        <w:t>joint</w:t>
      </w:r>
      <w:proofErr w:type="spellEnd"/>
      <w:r w:rsidRPr="009A5170">
        <w:rPr>
          <w:i/>
          <w:color w:val="212529"/>
          <w:sz w:val="16"/>
          <w:szCs w:val="16"/>
        </w:rPr>
        <w:t xml:space="preserve"> </w:t>
      </w:r>
      <w:proofErr w:type="spellStart"/>
      <w:r w:rsidRPr="009A5170">
        <w:rPr>
          <w:i/>
          <w:color w:val="212529"/>
          <w:sz w:val="16"/>
          <w:szCs w:val="16"/>
        </w:rPr>
        <w:t>venture</w:t>
      </w:r>
      <w:proofErr w:type="spellEnd"/>
      <w:r w:rsidRPr="009A5170">
        <w:rPr>
          <w:i/>
          <w:color w:val="212529"/>
          <w:sz w:val="16"/>
          <w:szCs w:val="16"/>
        </w:rPr>
        <w:t>, %100 yabancı sermayeli şirket veya bağlı ortaklık (</w:t>
      </w:r>
      <w:proofErr w:type="spellStart"/>
      <w:r w:rsidRPr="009A5170">
        <w:rPr>
          <w:i/>
          <w:color w:val="212529"/>
          <w:sz w:val="16"/>
          <w:szCs w:val="16"/>
        </w:rPr>
        <w:t>subsidiary</w:t>
      </w:r>
      <w:proofErr w:type="spellEnd"/>
      <w:r w:rsidRPr="009A5170">
        <w:rPr>
          <w:i/>
          <w:color w:val="212529"/>
          <w:sz w:val="16"/>
          <w:szCs w:val="16"/>
        </w:rPr>
        <w:t>) oluşturmaları mümkündür. İtalyan hükümeti serbest girişim ve serbest ticareti teşvik etmektedir.</w:t>
      </w:r>
    </w:p>
    <w:p w:rsidR="003B331F" w:rsidRPr="009A5170" w:rsidRDefault="003B331F" w:rsidP="003B331F">
      <w:pPr>
        <w:pStyle w:val="NormalWeb"/>
        <w:spacing w:before="0" w:beforeAutospacing="0"/>
        <w:jc w:val="both"/>
        <w:rPr>
          <w:i/>
          <w:color w:val="212529"/>
          <w:sz w:val="16"/>
          <w:szCs w:val="16"/>
        </w:rPr>
      </w:pPr>
      <w:r w:rsidRPr="009A5170">
        <w:rPr>
          <w:i/>
          <w:color w:val="212529"/>
          <w:sz w:val="16"/>
          <w:szCs w:val="16"/>
        </w:rPr>
        <w:lastRenderedPageBreak/>
        <w:t xml:space="preserve">Ayrıca yabancı yatırımlar için bir kayıt yada ön izin sistemi bulunmamakta ancak şirketlerin kuruluş faaliyet alanı ve şirket türlerine göre yatırılması gereken minimum </w:t>
      </w:r>
      <w:proofErr w:type="gramStart"/>
      <w:r w:rsidRPr="009A5170">
        <w:rPr>
          <w:i/>
          <w:color w:val="212529"/>
          <w:sz w:val="16"/>
          <w:szCs w:val="16"/>
        </w:rPr>
        <w:t>nominal</w:t>
      </w:r>
      <w:proofErr w:type="gramEnd"/>
      <w:r w:rsidRPr="009A5170">
        <w:rPr>
          <w:i/>
          <w:color w:val="212529"/>
          <w:sz w:val="16"/>
          <w:szCs w:val="16"/>
        </w:rPr>
        <w:t xml:space="preserve"> sermaye miktarı belirlenmiş bulunmaktadır. Banka ve sigorta şirketleri ile hisse senedi, yatırım aracı kuruluşlarının AB Direktifleri ile belirlenen </w:t>
      </w:r>
      <w:proofErr w:type="gramStart"/>
      <w:r w:rsidRPr="009A5170">
        <w:rPr>
          <w:i/>
          <w:color w:val="212529"/>
          <w:sz w:val="16"/>
          <w:szCs w:val="16"/>
        </w:rPr>
        <w:t>kriter</w:t>
      </w:r>
      <w:proofErr w:type="gramEnd"/>
      <w:r w:rsidRPr="009A5170">
        <w:rPr>
          <w:i/>
          <w:color w:val="212529"/>
          <w:sz w:val="16"/>
          <w:szCs w:val="16"/>
        </w:rPr>
        <w:t xml:space="preserve"> ve koşulları karşılaması zorunludur. Yabancı yatırımcılar mevcut teşvik mekanizmalarından yararlanabilmekte ancak bunun için anonim (s.p.a) veya (s.r.l) </w:t>
      </w:r>
      <w:proofErr w:type="spellStart"/>
      <w:r w:rsidRPr="009A5170">
        <w:rPr>
          <w:i/>
          <w:color w:val="212529"/>
          <w:sz w:val="16"/>
          <w:szCs w:val="16"/>
        </w:rPr>
        <w:t>limited</w:t>
      </w:r>
      <w:proofErr w:type="spellEnd"/>
      <w:r w:rsidRPr="009A5170">
        <w:rPr>
          <w:i/>
          <w:color w:val="212529"/>
          <w:sz w:val="16"/>
          <w:szCs w:val="16"/>
        </w:rPr>
        <w:t xml:space="preserve"> şirket statüsünde örgütlenmiş olmaları gerekmektedir. İş kurma ve yatırım imkanları ile ilgili detaylı bilgiye "</w:t>
      </w:r>
      <w:proofErr w:type="spellStart"/>
      <w:r w:rsidRPr="009A5170">
        <w:rPr>
          <w:i/>
          <w:color w:val="212529"/>
          <w:sz w:val="16"/>
          <w:szCs w:val="16"/>
        </w:rPr>
        <w:t>Invitalia</w:t>
      </w:r>
      <w:proofErr w:type="spellEnd"/>
      <w:r w:rsidRPr="009A5170">
        <w:rPr>
          <w:i/>
          <w:color w:val="212529"/>
          <w:sz w:val="16"/>
          <w:szCs w:val="16"/>
        </w:rPr>
        <w:t>-</w:t>
      </w:r>
      <w:proofErr w:type="spellStart"/>
      <w:r w:rsidRPr="009A5170">
        <w:rPr>
          <w:i/>
          <w:color w:val="212529"/>
          <w:sz w:val="16"/>
          <w:szCs w:val="16"/>
        </w:rPr>
        <w:t>Italian</w:t>
      </w:r>
      <w:proofErr w:type="spellEnd"/>
      <w:r w:rsidRPr="009A5170">
        <w:rPr>
          <w:i/>
          <w:color w:val="212529"/>
          <w:sz w:val="16"/>
          <w:szCs w:val="16"/>
        </w:rPr>
        <w:t xml:space="preserve"> </w:t>
      </w:r>
      <w:proofErr w:type="spellStart"/>
      <w:r w:rsidRPr="009A5170">
        <w:rPr>
          <w:i/>
          <w:color w:val="212529"/>
          <w:sz w:val="16"/>
          <w:szCs w:val="16"/>
        </w:rPr>
        <w:t>National</w:t>
      </w:r>
      <w:proofErr w:type="spellEnd"/>
      <w:r w:rsidRPr="009A5170">
        <w:rPr>
          <w:i/>
          <w:color w:val="212529"/>
          <w:sz w:val="16"/>
          <w:szCs w:val="16"/>
        </w:rPr>
        <w:t xml:space="preserve"> </w:t>
      </w:r>
      <w:proofErr w:type="spellStart"/>
      <w:r w:rsidRPr="009A5170">
        <w:rPr>
          <w:i/>
          <w:color w:val="212529"/>
          <w:sz w:val="16"/>
          <w:szCs w:val="16"/>
        </w:rPr>
        <w:t>Agency</w:t>
      </w:r>
      <w:proofErr w:type="spellEnd"/>
      <w:r w:rsidRPr="009A5170">
        <w:rPr>
          <w:i/>
          <w:color w:val="212529"/>
          <w:sz w:val="16"/>
          <w:szCs w:val="16"/>
        </w:rPr>
        <w:t xml:space="preserve"> </w:t>
      </w:r>
      <w:proofErr w:type="spellStart"/>
      <w:r w:rsidRPr="009A5170">
        <w:rPr>
          <w:i/>
          <w:color w:val="212529"/>
          <w:sz w:val="16"/>
          <w:szCs w:val="16"/>
        </w:rPr>
        <w:t>for</w:t>
      </w:r>
      <w:proofErr w:type="spellEnd"/>
      <w:r w:rsidRPr="009A5170">
        <w:rPr>
          <w:i/>
          <w:color w:val="212529"/>
          <w:sz w:val="16"/>
          <w:szCs w:val="16"/>
        </w:rPr>
        <w:t xml:space="preserve"> </w:t>
      </w:r>
      <w:proofErr w:type="spellStart"/>
      <w:r w:rsidRPr="009A5170">
        <w:rPr>
          <w:i/>
          <w:color w:val="212529"/>
          <w:sz w:val="16"/>
          <w:szCs w:val="16"/>
        </w:rPr>
        <w:t>Inward</w:t>
      </w:r>
      <w:proofErr w:type="spellEnd"/>
      <w:r w:rsidRPr="009A5170">
        <w:rPr>
          <w:i/>
          <w:color w:val="212529"/>
          <w:sz w:val="16"/>
          <w:szCs w:val="16"/>
        </w:rPr>
        <w:t xml:space="preserve"> </w:t>
      </w:r>
      <w:proofErr w:type="spellStart"/>
      <w:r w:rsidRPr="009A5170">
        <w:rPr>
          <w:i/>
          <w:color w:val="212529"/>
          <w:sz w:val="16"/>
          <w:szCs w:val="16"/>
        </w:rPr>
        <w:t>Investments</w:t>
      </w:r>
      <w:proofErr w:type="spellEnd"/>
      <w:r w:rsidRPr="009A5170">
        <w:rPr>
          <w:i/>
          <w:color w:val="212529"/>
          <w:sz w:val="16"/>
          <w:szCs w:val="16"/>
        </w:rPr>
        <w:t xml:space="preserve"> </w:t>
      </w:r>
      <w:proofErr w:type="spellStart"/>
      <w:r w:rsidRPr="009A5170">
        <w:rPr>
          <w:i/>
          <w:color w:val="212529"/>
          <w:sz w:val="16"/>
          <w:szCs w:val="16"/>
        </w:rPr>
        <w:t>and</w:t>
      </w:r>
      <w:proofErr w:type="spellEnd"/>
      <w:r w:rsidRPr="009A5170">
        <w:rPr>
          <w:i/>
          <w:color w:val="212529"/>
          <w:sz w:val="16"/>
          <w:szCs w:val="16"/>
        </w:rPr>
        <w:t xml:space="preserve"> </w:t>
      </w:r>
      <w:proofErr w:type="spellStart"/>
      <w:r w:rsidRPr="009A5170">
        <w:rPr>
          <w:i/>
          <w:color w:val="212529"/>
          <w:sz w:val="16"/>
          <w:szCs w:val="16"/>
        </w:rPr>
        <w:t>Economic</w:t>
      </w:r>
      <w:proofErr w:type="spellEnd"/>
      <w:r w:rsidRPr="009A5170">
        <w:rPr>
          <w:i/>
          <w:color w:val="212529"/>
          <w:sz w:val="16"/>
          <w:szCs w:val="16"/>
        </w:rPr>
        <w:t xml:space="preserve"> </w:t>
      </w:r>
      <w:proofErr w:type="spellStart"/>
      <w:r w:rsidRPr="009A5170">
        <w:rPr>
          <w:i/>
          <w:color w:val="212529"/>
          <w:sz w:val="16"/>
          <w:szCs w:val="16"/>
        </w:rPr>
        <w:t>Development</w:t>
      </w:r>
      <w:proofErr w:type="spellEnd"/>
      <w:r w:rsidRPr="009A5170">
        <w:rPr>
          <w:i/>
          <w:color w:val="212529"/>
          <w:sz w:val="16"/>
          <w:szCs w:val="16"/>
        </w:rPr>
        <w:t xml:space="preserve">" </w:t>
      </w:r>
      <w:proofErr w:type="gramStart"/>
      <w:r w:rsidRPr="009A5170">
        <w:rPr>
          <w:i/>
          <w:color w:val="212529"/>
          <w:sz w:val="16"/>
          <w:szCs w:val="16"/>
        </w:rPr>
        <w:t>dan</w:t>
      </w:r>
      <w:proofErr w:type="gramEnd"/>
      <w:r w:rsidRPr="009A5170">
        <w:rPr>
          <w:i/>
          <w:color w:val="212529"/>
          <w:sz w:val="16"/>
          <w:szCs w:val="16"/>
        </w:rPr>
        <w:t xml:space="preserve"> ulaşılabilir (</w:t>
      </w:r>
      <w:hyperlink r:id="rId5" w:history="1">
        <w:r w:rsidRPr="009A5170">
          <w:rPr>
            <w:rStyle w:val="Kpr"/>
            <w:i/>
            <w:color w:val="007BFF"/>
            <w:sz w:val="16"/>
            <w:szCs w:val="16"/>
          </w:rPr>
          <w:t>www.invitalia.it</w:t>
        </w:r>
      </w:hyperlink>
      <w:r w:rsidRPr="009A5170">
        <w:rPr>
          <w:i/>
          <w:color w:val="212529"/>
          <w:sz w:val="16"/>
          <w:szCs w:val="16"/>
        </w:rPr>
        <w:t>).</w:t>
      </w:r>
    </w:p>
    <w:p w:rsidR="009D6C6B" w:rsidRPr="009A5170" w:rsidRDefault="009D6C6B" w:rsidP="009D6C6B">
      <w:pPr>
        <w:pStyle w:val="Balk4"/>
        <w:spacing w:before="0" w:beforeAutospacing="0"/>
        <w:jc w:val="both"/>
        <w:rPr>
          <w:bCs w:val="0"/>
          <w:i/>
          <w:color w:val="212529"/>
          <w:sz w:val="22"/>
          <w:szCs w:val="22"/>
          <w:u w:val="single"/>
        </w:rPr>
      </w:pPr>
      <w:r w:rsidRPr="009A5170">
        <w:rPr>
          <w:bCs w:val="0"/>
          <w:i/>
          <w:color w:val="212529"/>
          <w:sz w:val="22"/>
          <w:szCs w:val="22"/>
          <w:u w:val="single"/>
        </w:rPr>
        <w:t>Yatırımlara Sağlanan Teşvikler</w:t>
      </w:r>
    </w:p>
    <w:p w:rsidR="009D6C6B" w:rsidRPr="009A5170" w:rsidRDefault="009D6C6B" w:rsidP="009D6C6B">
      <w:pPr>
        <w:pStyle w:val="Balk4"/>
        <w:spacing w:before="0" w:beforeAutospacing="0"/>
        <w:jc w:val="both"/>
        <w:rPr>
          <w:b w:val="0"/>
          <w:i/>
          <w:color w:val="212529"/>
          <w:sz w:val="16"/>
          <w:szCs w:val="16"/>
          <w:shd w:val="clear" w:color="auto" w:fill="FFFFFF"/>
        </w:rPr>
      </w:pPr>
      <w:r w:rsidRPr="009A5170">
        <w:rPr>
          <w:b w:val="0"/>
          <w:i/>
          <w:color w:val="212529"/>
          <w:sz w:val="16"/>
          <w:szCs w:val="16"/>
          <w:shd w:val="clear" w:color="auto" w:fill="FFFFFF"/>
        </w:rPr>
        <w:t xml:space="preserve">İtalyan teşvik sistemi, devlet yardımları alanındaki AB </w:t>
      </w:r>
      <w:proofErr w:type="spellStart"/>
      <w:r w:rsidRPr="009A5170">
        <w:rPr>
          <w:b w:val="0"/>
          <w:i/>
          <w:color w:val="212529"/>
          <w:sz w:val="16"/>
          <w:szCs w:val="16"/>
          <w:shd w:val="clear" w:color="auto" w:fill="FFFFFF"/>
        </w:rPr>
        <w:t>muktesabatına</w:t>
      </w:r>
      <w:proofErr w:type="spellEnd"/>
      <w:r w:rsidRPr="009A5170">
        <w:rPr>
          <w:b w:val="0"/>
          <w:i/>
          <w:color w:val="212529"/>
          <w:sz w:val="16"/>
          <w:szCs w:val="16"/>
          <w:shd w:val="clear" w:color="auto" w:fill="FFFFFF"/>
        </w:rPr>
        <w:t xml:space="preserve"> ve bu çerçevedeki normlara uygun olarak yürütülmekte ve daha çok İtalya içerisindeki az gelişmiş bölgelere ve KOBİ’lerin desteklenmesine yöneltilmiş bulunmaktadır. Ancak, AR-GE ve şirketlerin </w:t>
      </w:r>
      <w:proofErr w:type="spellStart"/>
      <w:r w:rsidRPr="009A5170">
        <w:rPr>
          <w:b w:val="0"/>
          <w:i/>
          <w:color w:val="212529"/>
          <w:sz w:val="16"/>
          <w:szCs w:val="16"/>
          <w:shd w:val="clear" w:color="auto" w:fill="FFFFFF"/>
        </w:rPr>
        <w:t>uluslararasılaşma</w:t>
      </w:r>
      <w:proofErr w:type="spellEnd"/>
      <w:r w:rsidRPr="009A5170">
        <w:rPr>
          <w:b w:val="0"/>
          <w:i/>
          <w:color w:val="212529"/>
          <w:sz w:val="16"/>
          <w:szCs w:val="16"/>
          <w:shd w:val="clear" w:color="auto" w:fill="FFFFFF"/>
        </w:rPr>
        <w:t xml:space="preserve"> faaliyetleri gibi bir takım özel amaçlar için uygulanan destek mekanizmaları da sistem içerisinde önemli yer tutmaktadır. Teşvik sistemi içerisinde sağlanan destekler çoğunlukla </w:t>
      </w:r>
      <w:proofErr w:type="spellStart"/>
      <w:r w:rsidRPr="009A5170">
        <w:rPr>
          <w:b w:val="0"/>
          <w:i/>
          <w:color w:val="212529"/>
          <w:sz w:val="16"/>
          <w:szCs w:val="16"/>
          <w:shd w:val="clear" w:color="auto" w:fill="FFFFFF"/>
        </w:rPr>
        <w:t>soft</w:t>
      </w:r>
      <w:proofErr w:type="spellEnd"/>
      <w:r w:rsidRPr="009A5170">
        <w:rPr>
          <w:b w:val="0"/>
          <w:i/>
          <w:color w:val="212529"/>
          <w:sz w:val="16"/>
          <w:szCs w:val="16"/>
          <w:shd w:val="clear" w:color="auto" w:fill="FFFFFF"/>
        </w:rPr>
        <w:t xml:space="preserve"> </w:t>
      </w:r>
      <w:proofErr w:type="spellStart"/>
      <w:r w:rsidRPr="009A5170">
        <w:rPr>
          <w:b w:val="0"/>
          <w:i/>
          <w:color w:val="212529"/>
          <w:sz w:val="16"/>
          <w:szCs w:val="16"/>
          <w:shd w:val="clear" w:color="auto" w:fill="FFFFFF"/>
        </w:rPr>
        <w:t>loan</w:t>
      </w:r>
      <w:proofErr w:type="spellEnd"/>
      <w:r w:rsidRPr="009A5170">
        <w:rPr>
          <w:b w:val="0"/>
          <w:i/>
          <w:color w:val="212529"/>
          <w:sz w:val="16"/>
          <w:szCs w:val="16"/>
          <w:shd w:val="clear" w:color="auto" w:fill="FFFFFF"/>
        </w:rPr>
        <w:t xml:space="preserve">, program ve projeler kapsamında verilen uzun vadeli düşük faizli kredi imkanlarında oluşmakta, az sayıdaki hibe şeklindeki destekler özelikle az gelişmiş bölgelerdeki firmaların yatırım harcamalarına, KOBİ’lere ve uluslararası </w:t>
      </w:r>
      <w:proofErr w:type="gramStart"/>
      <w:r w:rsidRPr="009A5170">
        <w:rPr>
          <w:b w:val="0"/>
          <w:i/>
          <w:color w:val="212529"/>
          <w:sz w:val="16"/>
          <w:szCs w:val="16"/>
          <w:shd w:val="clear" w:color="auto" w:fill="FFFFFF"/>
        </w:rPr>
        <w:t>promosyon</w:t>
      </w:r>
      <w:proofErr w:type="gramEnd"/>
      <w:r w:rsidRPr="009A5170">
        <w:rPr>
          <w:b w:val="0"/>
          <w:i/>
          <w:color w:val="212529"/>
          <w:sz w:val="16"/>
          <w:szCs w:val="16"/>
          <w:shd w:val="clear" w:color="auto" w:fill="FFFFFF"/>
        </w:rPr>
        <w:t xml:space="preserve"> faaliyetlerinin desteklenmesi için meslek örgütleri, Odalar ve ihracat konsorsiyumlarına yönelik olarak kullandırılmaktadır.</w:t>
      </w:r>
    </w:p>
    <w:p w:rsidR="009D6C6B" w:rsidRPr="009A5170" w:rsidRDefault="009D6C6B" w:rsidP="009D6C6B">
      <w:pPr>
        <w:pStyle w:val="Balk4"/>
        <w:spacing w:before="0" w:beforeAutospacing="0"/>
        <w:jc w:val="both"/>
        <w:rPr>
          <w:bCs w:val="0"/>
          <w:i/>
          <w:color w:val="212529"/>
          <w:sz w:val="22"/>
          <w:szCs w:val="22"/>
          <w:u w:val="single"/>
        </w:rPr>
      </w:pPr>
      <w:r w:rsidRPr="009A5170">
        <w:rPr>
          <w:bCs w:val="0"/>
          <w:i/>
          <w:color w:val="212529"/>
          <w:sz w:val="22"/>
          <w:szCs w:val="22"/>
          <w:u w:val="single"/>
        </w:rPr>
        <w:t>Oturma ve Çalışma İzinleri</w:t>
      </w:r>
    </w:p>
    <w:p w:rsidR="009D6C6B" w:rsidRPr="009A5170" w:rsidRDefault="009D6C6B" w:rsidP="009D6C6B">
      <w:pPr>
        <w:pStyle w:val="NormalWeb"/>
        <w:spacing w:before="0" w:beforeAutospacing="0"/>
        <w:jc w:val="both"/>
        <w:rPr>
          <w:i/>
          <w:color w:val="212529"/>
          <w:sz w:val="16"/>
          <w:szCs w:val="16"/>
        </w:rPr>
      </w:pPr>
      <w:r w:rsidRPr="009A5170">
        <w:rPr>
          <w:i/>
          <w:color w:val="212529"/>
          <w:sz w:val="16"/>
          <w:szCs w:val="16"/>
        </w:rPr>
        <w:t xml:space="preserve">İtalyan mevzuatına göre AB vatandaşı olmayan milliyete sahip kişilerin </w:t>
      </w:r>
      <w:proofErr w:type="spellStart"/>
      <w:r w:rsidRPr="009A5170">
        <w:rPr>
          <w:i/>
          <w:color w:val="212529"/>
          <w:sz w:val="16"/>
          <w:szCs w:val="16"/>
        </w:rPr>
        <w:t>Italya'da</w:t>
      </w:r>
      <w:proofErr w:type="spellEnd"/>
      <w:r w:rsidRPr="009A5170">
        <w:rPr>
          <w:i/>
          <w:color w:val="212529"/>
          <w:sz w:val="16"/>
          <w:szCs w:val="16"/>
        </w:rPr>
        <w:t xml:space="preserve"> çalışabilmeleri için çalışma vizesi, iş ve oturma izni almaları gerekmektedir. Çalışma müsaadesi için başvurular Bölge idareleri </w:t>
      </w:r>
      <w:proofErr w:type="spellStart"/>
      <w:r w:rsidRPr="009A5170">
        <w:rPr>
          <w:i/>
          <w:color w:val="212529"/>
          <w:sz w:val="16"/>
          <w:szCs w:val="16"/>
        </w:rPr>
        <w:t>nezdındeki</w:t>
      </w:r>
      <w:proofErr w:type="spellEnd"/>
      <w:r w:rsidRPr="009A5170">
        <w:rPr>
          <w:i/>
          <w:color w:val="212529"/>
          <w:sz w:val="16"/>
          <w:szCs w:val="16"/>
        </w:rPr>
        <w:t xml:space="preserve"> çalışma ofislerine yapılmaktadır.</w:t>
      </w:r>
    </w:p>
    <w:p w:rsidR="009D6C6B" w:rsidRPr="009A5170" w:rsidRDefault="009D6C6B" w:rsidP="009D6C6B">
      <w:pPr>
        <w:pStyle w:val="NormalWeb"/>
        <w:spacing w:before="0" w:beforeAutospacing="0"/>
        <w:jc w:val="both"/>
        <w:rPr>
          <w:i/>
          <w:color w:val="212529"/>
          <w:sz w:val="16"/>
          <w:szCs w:val="16"/>
        </w:rPr>
      </w:pPr>
      <w:r w:rsidRPr="009A5170">
        <w:rPr>
          <w:i/>
          <w:color w:val="212529"/>
          <w:sz w:val="16"/>
          <w:szCs w:val="16"/>
        </w:rPr>
        <w:t xml:space="preserve">Çalışma </w:t>
      </w:r>
      <w:proofErr w:type="spellStart"/>
      <w:r w:rsidRPr="009A5170">
        <w:rPr>
          <w:i/>
          <w:color w:val="212529"/>
          <w:sz w:val="16"/>
          <w:szCs w:val="16"/>
        </w:rPr>
        <w:t>müsadeleri</w:t>
      </w:r>
      <w:proofErr w:type="spellEnd"/>
      <w:r w:rsidRPr="009A5170">
        <w:rPr>
          <w:i/>
          <w:color w:val="212529"/>
          <w:sz w:val="16"/>
          <w:szCs w:val="16"/>
        </w:rPr>
        <w:t xml:space="preserve"> İtalya'daki aynı iş sektöründeki istihdam durumu ve her yıl belirlenen yabancı işçi kotaları dikkate alınarak hazırlanmaktadır.</w:t>
      </w:r>
    </w:p>
    <w:p w:rsidR="009D6C6B" w:rsidRPr="009A5170" w:rsidRDefault="009D6C6B" w:rsidP="009D6C6B">
      <w:pPr>
        <w:pStyle w:val="NormalWeb"/>
        <w:spacing w:before="0" w:beforeAutospacing="0"/>
        <w:jc w:val="both"/>
        <w:rPr>
          <w:i/>
          <w:color w:val="212529"/>
          <w:sz w:val="16"/>
          <w:szCs w:val="16"/>
        </w:rPr>
      </w:pPr>
      <w:r w:rsidRPr="009A5170">
        <w:rPr>
          <w:i/>
          <w:color w:val="212529"/>
          <w:sz w:val="16"/>
          <w:szCs w:val="16"/>
        </w:rPr>
        <w:t xml:space="preserve">Çalışma </w:t>
      </w:r>
      <w:proofErr w:type="spellStart"/>
      <w:r w:rsidRPr="009A5170">
        <w:rPr>
          <w:i/>
          <w:color w:val="212529"/>
          <w:sz w:val="16"/>
          <w:szCs w:val="16"/>
        </w:rPr>
        <w:t>müsadesi</w:t>
      </w:r>
      <w:proofErr w:type="spellEnd"/>
      <w:r w:rsidRPr="009A5170">
        <w:rPr>
          <w:i/>
          <w:color w:val="212529"/>
          <w:sz w:val="16"/>
          <w:szCs w:val="16"/>
        </w:rPr>
        <w:t xml:space="preserve"> alabilmek için ilk aşamada </w:t>
      </w:r>
      <w:proofErr w:type="spellStart"/>
      <w:r w:rsidRPr="009A5170">
        <w:rPr>
          <w:i/>
          <w:color w:val="212529"/>
          <w:sz w:val="16"/>
          <w:szCs w:val="16"/>
        </w:rPr>
        <w:t>Italya'daki</w:t>
      </w:r>
      <w:proofErr w:type="spellEnd"/>
      <w:r w:rsidRPr="009A5170">
        <w:rPr>
          <w:i/>
          <w:color w:val="212529"/>
          <w:sz w:val="16"/>
          <w:szCs w:val="16"/>
        </w:rPr>
        <w:t xml:space="preserve"> işveren firma tarafından başvuru formu doldurulmakta ve bölge çalışma ofisleri (</w:t>
      </w:r>
      <w:proofErr w:type="spellStart"/>
      <w:r w:rsidRPr="009A5170">
        <w:rPr>
          <w:i/>
          <w:color w:val="212529"/>
          <w:sz w:val="16"/>
          <w:szCs w:val="16"/>
        </w:rPr>
        <w:t>Uffıcıo</w:t>
      </w:r>
      <w:proofErr w:type="spellEnd"/>
      <w:r w:rsidRPr="009A5170">
        <w:rPr>
          <w:i/>
          <w:color w:val="212529"/>
          <w:sz w:val="16"/>
          <w:szCs w:val="16"/>
        </w:rPr>
        <w:t xml:space="preserve"> </w:t>
      </w:r>
      <w:proofErr w:type="spellStart"/>
      <w:r w:rsidRPr="009A5170">
        <w:rPr>
          <w:i/>
          <w:color w:val="212529"/>
          <w:sz w:val="16"/>
          <w:szCs w:val="16"/>
        </w:rPr>
        <w:t>Provıncıale</w:t>
      </w:r>
      <w:proofErr w:type="spellEnd"/>
      <w:r w:rsidRPr="009A5170">
        <w:rPr>
          <w:i/>
          <w:color w:val="212529"/>
          <w:sz w:val="16"/>
          <w:szCs w:val="16"/>
        </w:rPr>
        <w:t xml:space="preserve"> del </w:t>
      </w:r>
      <w:proofErr w:type="spellStart"/>
      <w:r w:rsidRPr="009A5170">
        <w:rPr>
          <w:i/>
          <w:color w:val="212529"/>
          <w:sz w:val="16"/>
          <w:szCs w:val="16"/>
        </w:rPr>
        <w:t>Lavoro</w:t>
      </w:r>
      <w:proofErr w:type="spellEnd"/>
      <w:r w:rsidRPr="009A5170">
        <w:rPr>
          <w:i/>
          <w:color w:val="212529"/>
          <w:sz w:val="16"/>
          <w:szCs w:val="16"/>
        </w:rPr>
        <w:t>) ve Polis merkezinden(</w:t>
      </w:r>
      <w:proofErr w:type="spellStart"/>
      <w:r w:rsidRPr="009A5170">
        <w:rPr>
          <w:i/>
          <w:color w:val="212529"/>
          <w:sz w:val="16"/>
          <w:szCs w:val="16"/>
        </w:rPr>
        <w:t>questura</w:t>
      </w:r>
      <w:proofErr w:type="spellEnd"/>
      <w:r w:rsidRPr="009A5170">
        <w:rPr>
          <w:i/>
          <w:color w:val="212529"/>
          <w:sz w:val="16"/>
          <w:szCs w:val="16"/>
        </w:rPr>
        <w:t xml:space="preserve">) ön </w:t>
      </w:r>
      <w:proofErr w:type="spellStart"/>
      <w:r w:rsidRPr="009A5170">
        <w:rPr>
          <w:i/>
          <w:color w:val="212529"/>
          <w:sz w:val="16"/>
          <w:szCs w:val="16"/>
        </w:rPr>
        <w:t>müsade</w:t>
      </w:r>
      <w:proofErr w:type="spellEnd"/>
      <w:r w:rsidRPr="009A5170">
        <w:rPr>
          <w:i/>
          <w:color w:val="212529"/>
          <w:sz w:val="16"/>
          <w:szCs w:val="16"/>
        </w:rPr>
        <w:t xml:space="preserve"> (</w:t>
      </w:r>
      <w:proofErr w:type="spellStart"/>
      <w:r w:rsidRPr="009A5170">
        <w:rPr>
          <w:i/>
          <w:color w:val="212529"/>
          <w:sz w:val="16"/>
          <w:szCs w:val="16"/>
        </w:rPr>
        <w:t>nulla</w:t>
      </w:r>
      <w:proofErr w:type="spellEnd"/>
      <w:r w:rsidRPr="009A5170">
        <w:rPr>
          <w:i/>
          <w:color w:val="212529"/>
          <w:sz w:val="16"/>
          <w:szCs w:val="16"/>
        </w:rPr>
        <w:t xml:space="preserve"> </w:t>
      </w:r>
      <w:proofErr w:type="spellStart"/>
      <w:r w:rsidRPr="009A5170">
        <w:rPr>
          <w:i/>
          <w:color w:val="212529"/>
          <w:sz w:val="16"/>
          <w:szCs w:val="16"/>
        </w:rPr>
        <w:t>Osta</w:t>
      </w:r>
      <w:proofErr w:type="spellEnd"/>
      <w:r w:rsidRPr="009A5170">
        <w:rPr>
          <w:i/>
          <w:color w:val="212529"/>
          <w:sz w:val="16"/>
          <w:szCs w:val="16"/>
        </w:rPr>
        <w:t xml:space="preserve"> </w:t>
      </w:r>
      <w:proofErr w:type="spellStart"/>
      <w:r w:rsidRPr="009A5170">
        <w:rPr>
          <w:i/>
          <w:color w:val="212529"/>
          <w:sz w:val="16"/>
          <w:szCs w:val="16"/>
        </w:rPr>
        <w:t>provissorio</w:t>
      </w:r>
      <w:proofErr w:type="spellEnd"/>
      <w:r w:rsidRPr="009A5170">
        <w:rPr>
          <w:i/>
          <w:color w:val="212529"/>
          <w:sz w:val="16"/>
          <w:szCs w:val="16"/>
        </w:rPr>
        <w:t xml:space="preserve">) alınmaktadır. Bunu müteakip, ilgili kişi bulunduğu ülkedeki </w:t>
      </w:r>
      <w:proofErr w:type="spellStart"/>
      <w:r w:rsidRPr="009A5170">
        <w:rPr>
          <w:i/>
          <w:color w:val="212529"/>
          <w:sz w:val="16"/>
          <w:szCs w:val="16"/>
        </w:rPr>
        <w:t>Italyan</w:t>
      </w:r>
      <w:proofErr w:type="spellEnd"/>
      <w:r w:rsidRPr="009A5170">
        <w:rPr>
          <w:i/>
          <w:color w:val="212529"/>
          <w:sz w:val="16"/>
          <w:szCs w:val="16"/>
        </w:rPr>
        <w:t xml:space="preserve"> konsolosluğuna çalışma ve oturma vizesi için başvurmaktadır. Bu çerçevede ülkeye giriş vizesi alındıktan sonra 30 gün içerisinde Oturum izni için (</w:t>
      </w:r>
      <w:proofErr w:type="spellStart"/>
      <w:r w:rsidRPr="009A5170">
        <w:rPr>
          <w:i/>
          <w:color w:val="212529"/>
          <w:sz w:val="16"/>
          <w:szCs w:val="16"/>
        </w:rPr>
        <w:t>permesso</w:t>
      </w:r>
      <w:proofErr w:type="spellEnd"/>
      <w:r w:rsidRPr="009A5170">
        <w:rPr>
          <w:i/>
          <w:color w:val="212529"/>
          <w:sz w:val="16"/>
          <w:szCs w:val="16"/>
        </w:rPr>
        <w:t xml:space="preserve"> </w:t>
      </w:r>
      <w:proofErr w:type="spellStart"/>
      <w:r w:rsidRPr="009A5170">
        <w:rPr>
          <w:i/>
          <w:color w:val="212529"/>
          <w:sz w:val="16"/>
          <w:szCs w:val="16"/>
        </w:rPr>
        <w:t>di</w:t>
      </w:r>
      <w:proofErr w:type="spellEnd"/>
      <w:r w:rsidRPr="009A5170">
        <w:rPr>
          <w:i/>
          <w:color w:val="212529"/>
          <w:sz w:val="16"/>
          <w:szCs w:val="16"/>
        </w:rPr>
        <w:t xml:space="preserve"> </w:t>
      </w:r>
      <w:proofErr w:type="spellStart"/>
      <w:r w:rsidRPr="009A5170">
        <w:rPr>
          <w:i/>
          <w:color w:val="212529"/>
          <w:sz w:val="16"/>
          <w:szCs w:val="16"/>
        </w:rPr>
        <w:t>soggiorno</w:t>
      </w:r>
      <w:proofErr w:type="spellEnd"/>
      <w:r w:rsidRPr="009A5170">
        <w:rPr>
          <w:i/>
          <w:color w:val="212529"/>
          <w:sz w:val="16"/>
          <w:szCs w:val="16"/>
        </w:rPr>
        <w:t>) İçişleri Bakanlığının ilgili birimlerine başvurulması gerekmektedir. Aynı zamanda, işe başlanılmasını müteakip 5 gün içerisinde Çalışma Bakanlığı bölge çalışma ofislerine sürekli çalışma izni (</w:t>
      </w:r>
      <w:proofErr w:type="spellStart"/>
      <w:r w:rsidRPr="009A5170">
        <w:rPr>
          <w:i/>
          <w:color w:val="212529"/>
          <w:sz w:val="16"/>
          <w:szCs w:val="16"/>
        </w:rPr>
        <w:t>liberta</w:t>
      </w:r>
      <w:proofErr w:type="spellEnd"/>
      <w:r w:rsidRPr="009A5170">
        <w:rPr>
          <w:i/>
          <w:color w:val="212529"/>
          <w:sz w:val="16"/>
          <w:szCs w:val="16"/>
        </w:rPr>
        <w:t xml:space="preserve"> </w:t>
      </w:r>
      <w:proofErr w:type="spellStart"/>
      <w:r w:rsidRPr="009A5170">
        <w:rPr>
          <w:i/>
          <w:color w:val="212529"/>
          <w:sz w:val="16"/>
          <w:szCs w:val="16"/>
        </w:rPr>
        <w:t>di</w:t>
      </w:r>
      <w:proofErr w:type="spellEnd"/>
      <w:r w:rsidRPr="009A5170">
        <w:rPr>
          <w:i/>
          <w:color w:val="212529"/>
          <w:sz w:val="16"/>
          <w:szCs w:val="16"/>
        </w:rPr>
        <w:t xml:space="preserve"> </w:t>
      </w:r>
      <w:proofErr w:type="spellStart"/>
      <w:r w:rsidRPr="009A5170">
        <w:rPr>
          <w:i/>
          <w:color w:val="212529"/>
          <w:sz w:val="16"/>
          <w:szCs w:val="16"/>
        </w:rPr>
        <w:t>lavoro</w:t>
      </w:r>
      <w:proofErr w:type="spellEnd"/>
      <w:r w:rsidRPr="009A5170">
        <w:rPr>
          <w:i/>
          <w:color w:val="212529"/>
          <w:sz w:val="16"/>
          <w:szCs w:val="16"/>
        </w:rPr>
        <w:t>) için başvuru yapılması gerekmektedir.</w:t>
      </w:r>
    </w:p>
    <w:p w:rsidR="009D6C6B" w:rsidRDefault="009D6C6B" w:rsidP="009D6C6B">
      <w:pPr>
        <w:pStyle w:val="Balk2"/>
        <w:shd w:val="clear" w:color="auto" w:fill="F1F1F1"/>
        <w:spacing w:before="0" w:after="139"/>
        <w:rPr>
          <w:rFonts w:ascii="Arial" w:hAnsi="Arial" w:cs="Arial"/>
          <w:color w:val="09376B"/>
          <w:sz w:val="24"/>
          <w:szCs w:val="24"/>
        </w:rPr>
      </w:pPr>
      <w:r>
        <w:rPr>
          <w:rFonts w:ascii="Arial" w:hAnsi="Arial" w:cs="Arial"/>
          <w:b w:val="0"/>
          <w:bCs w:val="0"/>
          <w:color w:val="212529"/>
        </w:rPr>
        <w:t> </w:t>
      </w:r>
      <w:r>
        <w:rPr>
          <w:rFonts w:ascii="Arial" w:hAnsi="Arial" w:cs="Arial"/>
          <w:color w:val="09376B"/>
          <w:sz w:val="24"/>
          <w:szCs w:val="24"/>
        </w:rPr>
        <w:t>Dış Ticaret</w:t>
      </w:r>
    </w:p>
    <w:p w:rsidR="009D6C6B" w:rsidRPr="009A5170" w:rsidRDefault="009D6C6B" w:rsidP="009D6C6B">
      <w:pPr>
        <w:pStyle w:val="NormalWeb"/>
        <w:spacing w:before="0" w:beforeAutospacing="0"/>
        <w:jc w:val="both"/>
        <w:rPr>
          <w:i/>
          <w:color w:val="212529"/>
          <w:sz w:val="16"/>
          <w:szCs w:val="16"/>
        </w:rPr>
      </w:pPr>
      <w:r w:rsidRPr="009A5170">
        <w:rPr>
          <w:i/>
          <w:color w:val="212529"/>
          <w:sz w:val="16"/>
          <w:szCs w:val="16"/>
        </w:rPr>
        <w:t>2017 yılında dünyanın en çok ihracat yapan 9</w:t>
      </w:r>
      <w:proofErr w:type="gramStart"/>
      <w:r w:rsidRPr="009A5170">
        <w:rPr>
          <w:i/>
          <w:color w:val="212529"/>
          <w:sz w:val="16"/>
          <w:szCs w:val="16"/>
        </w:rPr>
        <w:t>.,</w:t>
      </w:r>
      <w:proofErr w:type="gramEnd"/>
      <w:r w:rsidRPr="009A5170">
        <w:rPr>
          <w:i/>
          <w:color w:val="212529"/>
          <w:sz w:val="16"/>
          <w:szCs w:val="16"/>
        </w:rPr>
        <w:t xml:space="preserve"> ithalat gerçekleştiren 10.  ülkesi olmuştur (ITC-</w:t>
      </w:r>
      <w:proofErr w:type="spellStart"/>
      <w:r w:rsidRPr="009A5170">
        <w:rPr>
          <w:i/>
          <w:color w:val="212529"/>
          <w:sz w:val="16"/>
          <w:szCs w:val="16"/>
        </w:rPr>
        <w:t>Trade</w:t>
      </w:r>
      <w:proofErr w:type="spellEnd"/>
      <w:r w:rsidRPr="009A5170">
        <w:rPr>
          <w:i/>
          <w:color w:val="212529"/>
          <w:sz w:val="16"/>
          <w:szCs w:val="16"/>
        </w:rPr>
        <w:t xml:space="preserve"> </w:t>
      </w:r>
      <w:proofErr w:type="spellStart"/>
      <w:r w:rsidRPr="009A5170">
        <w:rPr>
          <w:i/>
          <w:color w:val="212529"/>
          <w:sz w:val="16"/>
          <w:szCs w:val="16"/>
        </w:rPr>
        <w:t>Map</w:t>
      </w:r>
      <w:proofErr w:type="spellEnd"/>
      <w:r w:rsidRPr="009A5170">
        <w:rPr>
          <w:i/>
          <w:color w:val="212529"/>
          <w:sz w:val="16"/>
          <w:szCs w:val="16"/>
        </w:rPr>
        <w:t>).</w:t>
      </w:r>
      <w:r w:rsidRPr="009A5170">
        <w:rPr>
          <w:i/>
          <w:color w:val="212529"/>
          <w:sz w:val="16"/>
          <w:szCs w:val="16"/>
        </w:rPr>
        <w:br/>
        <w:t> </w:t>
      </w:r>
      <w:r w:rsidRPr="009A5170">
        <w:rPr>
          <w:i/>
          <w:color w:val="212529"/>
          <w:sz w:val="16"/>
          <w:szCs w:val="16"/>
        </w:rPr>
        <w:br/>
        <w:t xml:space="preserve">İtalya’nın ihracatına bakıldığında ağırlıklı olarak makine, nakliye </w:t>
      </w:r>
      <w:proofErr w:type="gramStart"/>
      <w:r w:rsidRPr="009A5170">
        <w:rPr>
          <w:i/>
          <w:color w:val="212529"/>
          <w:sz w:val="16"/>
          <w:szCs w:val="16"/>
        </w:rPr>
        <w:t>ekipmanı</w:t>
      </w:r>
      <w:proofErr w:type="gramEnd"/>
      <w:r w:rsidRPr="009A5170">
        <w:rPr>
          <w:i/>
          <w:color w:val="212529"/>
          <w:sz w:val="16"/>
          <w:szCs w:val="16"/>
        </w:rPr>
        <w:t>, metal ve kimyasallar gibi orta düzey teknoloji gerektiren ürünlerin olduğu görülmektedir. Bunun yanında gıda ve içecek, tekstil, kıyafet, deri, ayakkabı, seramik gibi İtalyan küçük ve orta ölçekli işletmelerinin belkemiğini oluşturan emek yoğun ürünler de İtalya’nın ihracatında önemli yer tutmaktadır.</w:t>
      </w:r>
      <w:r w:rsidRPr="009A5170">
        <w:rPr>
          <w:i/>
          <w:color w:val="212529"/>
          <w:sz w:val="16"/>
          <w:szCs w:val="16"/>
        </w:rPr>
        <w:br/>
      </w:r>
      <w:r w:rsidRPr="009A5170">
        <w:rPr>
          <w:i/>
          <w:color w:val="212529"/>
          <w:sz w:val="16"/>
          <w:szCs w:val="16"/>
        </w:rPr>
        <w:br/>
        <w:t>İtalya’nın ihracatında AB üyesi ülkelerinin payı 2001’den beri düşmekteyse de bu oran halen % 50’nin üstündedir. Almanya, İtalya’nın ihracatında birinci sırada yer almaktadır.</w:t>
      </w:r>
    </w:p>
    <w:p w:rsidR="009D6C6B" w:rsidRPr="009A5170" w:rsidRDefault="009D6C6B" w:rsidP="009D6C6B">
      <w:pPr>
        <w:pStyle w:val="NormalWeb"/>
        <w:spacing w:before="0" w:beforeAutospacing="0"/>
        <w:jc w:val="both"/>
        <w:rPr>
          <w:i/>
          <w:color w:val="212529"/>
          <w:sz w:val="16"/>
          <w:szCs w:val="16"/>
        </w:rPr>
      </w:pPr>
      <w:r w:rsidRPr="009A5170">
        <w:rPr>
          <w:i/>
          <w:color w:val="212529"/>
          <w:sz w:val="16"/>
          <w:szCs w:val="16"/>
        </w:rPr>
        <w:t xml:space="preserve">Ülkenin ithalat kalemlerinin başında ise ham petrol, petrol yağları ve gazları, otomotiv ve oto yan sanayi ürünleri, kimyasallar, ilaçlar, mineraller ve demir dışı metaller, makineler ve </w:t>
      </w:r>
      <w:proofErr w:type="gramStart"/>
      <w:r w:rsidRPr="009A5170">
        <w:rPr>
          <w:i/>
          <w:color w:val="212529"/>
          <w:sz w:val="16"/>
          <w:szCs w:val="16"/>
        </w:rPr>
        <w:t>ekipmanları</w:t>
      </w:r>
      <w:proofErr w:type="gramEnd"/>
      <w:r w:rsidRPr="009A5170">
        <w:rPr>
          <w:i/>
          <w:color w:val="212529"/>
          <w:sz w:val="16"/>
          <w:szCs w:val="16"/>
        </w:rPr>
        <w:t xml:space="preserve"> gelmektedir.</w:t>
      </w:r>
    </w:p>
    <w:p w:rsidR="009D6C6B" w:rsidRPr="009A5170" w:rsidRDefault="009D6C6B" w:rsidP="009D6C6B">
      <w:pPr>
        <w:pStyle w:val="NormalWeb"/>
        <w:spacing w:before="0" w:beforeAutospacing="0"/>
        <w:jc w:val="both"/>
        <w:rPr>
          <w:i/>
          <w:color w:val="212529"/>
          <w:sz w:val="16"/>
          <w:szCs w:val="16"/>
        </w:rPr>
      </w:pPr>
      <w:r w:rsidRPr="009A5170">
        <w:rPr>
          <w:i/>
          <w:color w:val="212529"/>
          <w:sz w:val="16"/>
          <w:szCs w:val="16"/>
        </w:rPr>
        <w:t>İtalya’nın ithalatında AB ülkelerinin payı % 60 civarındadır. Almanya İtalya’nın ithalatında da birinci sırada yer almaktadır.</w:t>
      </w:r>
    </w:p>
    <w:p w:rsidR="009D6C6B" w:rsidRPr="009A5170" w:rsidRDefault="009D6C6B" w:rsidP="009D6C6B">
      <w:pPr>
        <w:spacing w:after="100" w:afterAutospacing="1" w:line="240" w:lineRule="auto"/>
        <w:jc w:val="both"/>
        <w:outlineLvl w:val="3"/>
        <w:rPr>
          <w:rFonts w:ascii="Times New Roman" w:eastAsia="Times New Roman" w:hAnsi="Times New Roman" w:cs="Times New Roman"/>
          <w:b/>
          <w:i/>
          <w:color w:val="212529"/>
          <w:sz w:val="28"/>
          <w:szCs w:val="28"/>
          <w:u w:val="single"/>
        </w:rPr>
      </w:pPr>
      <w:r w:rsidRPr="009A5170">
        <w:rPr>
          <w:rFonts w:ascii="Times New Roman" w:eastAsia="Times New Roman" w:hAnsi="Times New Roman" w:cs="Times New Roman"/>
          <w:b/>
          <w:i/>
          <w:color w:val="212529"/>
          <w:sz w:val="28"/>
          <w:szCs w:val="28"/>
          <w:u w:val="single"/>
        </w:rPr>
        <w:t>Ülkenin Dış Ticareti</w:t>
      </w:r>
    </w:p>
    <w:p w:rsidR="009D6C6B" w:rsidRDefault="009D6C6B" w:rsidP="009D6C6B">
      <w:pPr>
        <w:spacing w:after="0" w:line="240" w:lineRule="auto"/>
        <w:jc w:val="both"/>
        <w:rPr>
          <w:rFonts w:ascii="Times New Roman" w:eastAsia="Times New Roman" w:hAnsi="Times New Roman" w:cs="Times New Roman"/>
          <w:b/>
          <w:bCs/>
          <w:i/>
          <w:color w:val="212529"/>
          <w:sz w:val="20"/>
          <w:szCs w:val="20"/>
        </w:rPr>
      </w:pPr>
      <w:r w:rsidRPr="009D6C6B">
        <w:rPr>
          <w:rFonts w:ascii="Times New Roman" w:eastAsia="Times New Roman" w:hAnsi="Times New Roman" w:cs="Times New Roman"/>
          <w:b/>
          <w:bCs/>
          <w:i/>
          <w:color w:val="212529"/>
          <w:sz w:val="20"/>
          <w:szCs w:val="20"/>
        </w:rPr>
        <w:t>İtalya'nın Dış Ticareti (Milyon $) </w:t>
      </w:r>
    </w:p>
    <w:tbl>
      <w:tblPr>
        <w:tblStyle w:val="TabloKlavuzu"/>
        <w:tblW w:w="0" w:type="auto"/>
        <w:tblLook w:val="04A0"/>
      </w:tblPr>
      <w:tblGrid>
        <w:gridCol w:w="1316"/>
        <w:gridCol w:w="1316"/>
        <w:gridCol w:w="1316"/>
        <w:gridCol w:w="1316"/>
        <w:gridCol w:w="1316"/>
        <w:gridCol w:w="1316"/>
        <w:gridCol w:w="1316"/>
      </w:tblGrid>
      <w:tr w:rsidR="009D6C6B" w:rsidTr="009D6C6B">
        <w:tc>
          <w:tcPr>
            <w:tcW w:w="1316" w:type="dxa"/>
          </w:tcPr>
          <w:p w:rsidR="009D6C6B" w:rsidRDefault="009D6C6B" w:rsidP="009D6C6B">
            <w:pPr>
              <w:jc w:val="both"/>
              <w:rPr>
                <w:rFonts w:ascii="Times New Roman" w:eastAsia="Times New Roman" w:hAnsi="Times New Roman" w:cs="Times New Roman"/>
                <w:i/>
                <w:color w:val="212529"/>
                <w:sz w:val="20"/>
                <w:szCs w:val="20"/>
              </w:rPr>
            </w:pPr>
          </w:p>
        </w:tc>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2013</w:t>
            </w:r>
          </w:p>
        </w:tc>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2014</w:t>
            </w:r>
          </w:p>
        </w:tc>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2015</w:t>
            </w:r>
          </w:p>
        </w:tc>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2016</w:t>
            </w:r>
          </w:p>
        </w:tc>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2017</w:t>
            </w:r>
          </w:p>
        </w:tc>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2018</w:t>
            </w:r>
          </w:p>
        </w:tc>
      </w:tr>
      <w:tr w:rsidR="009D6C6B" w:rsidTr="009D6C6B">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İhracat</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518,1</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529,5</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457,0</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461,5</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503,1</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546,6</w:t>
            </w:r>
          </w:p>
        </w:tc>
      </w:tr>
      <w:tr w:rsidR="009D6C6B" w:rsidTr="009D6C6B">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İthalat</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479,3</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474,1</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410,9</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404,6</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451,4</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500,8</w:t>
            </w:r>
          </w:p>
        </w:tc>
      </w:tr>
      <w:tr w:rsidR="009D6C6B" w:rsidTr="009D6C6B">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 xml:space="preserve">Hacim </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997,4</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1.003,6</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868</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866,1</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954,5</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1.047,4</w:t>
            </w:r>
          </w:p>
        </w:tc>
      </w:tr>
      <w:tr w:rsidR="009D6C6B" w:rsidTr="009D6C6B">
        <w:tc>
          <w:tcPr>
            <w:tcW w:w="1316" w:type="dxa"/>
          </w:tcPr>
          <w:p w:rsidR="009D6C6B" w:rsidRPr="002734C4" w:rsidRDefault="009D6C6B" w:rsidP="009D6C6B">
            <w:pPr>
              <w:jc w:val="both"/>
              <w:rPr>
                <w:rFonts w:ascii="Times New Roman" w:eastAsia="Times New Roman" w:hAnsi="Times New Roman" w:cs="Times New Roman"/>
                <w:b/>
                <w:i/>
                <w:color w:val="212529"/>
                <w:sz w:val="20"/>
                <w:szCs w:val="20"/>
              </w:rPr>
            </w:pPr>
            <w:r w:rsidRPr="002734C4">
              <w:rPr>
                <w:rFonts w:ascii="Times New Roman" w:eastAsia="Times New Roman" w:hAnsi="Times New Roman" w:cs="Times New Roman"/>
                <w:b/>
                <w:i/>
                <w:color w:val="212529"/>
                <w:sz w:val="20"/>
                <w:szCs w:val="20"/>
              </w:rPr>
              <w:t>Denge</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38,8</w:t>
            </w:r>
          </w:p>
        </w:tc>
        <w:tc>
          <w:tcPr>
            <w:tcW w:w="1316" w:type="dxa"/>
          </w:tcPr>
          <w:p w:rsidR="009D6C6B" w:rsidRPr="002734C4" w:rsidRDefault="000654FC"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55,4</w:t>
            </w:r>
          </w:p>
        </w:tc>
        <w:tc>
          <w:tcPr>
            <w:tcW w:w="1316" w:type="dxa"/>
          </w:tcPr>
          <w:p w:rsidR="009D6C6B" w:rsidRPr="002734C4" w:rsidRDefault="002734C4"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49,8</w:t>
            </w:r>
          </w:p>
        </w:tc>
        <w:tc>
          <w:tcPr>
            <w:tcW w:w="1316" w:type="dxa"/>
          </w:tcPr>
          <w:p w:rsidR="009D6C6B" w:rsidRPr="002734C4" w:rsidRDefault="002734C4"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56,9</w:t>
            </w:r>
          </w:p>
        </w:tc>
        <w:tc>
          <w:tcPr>
            <w:tcW w:w="1316" w:type="dxa"/>
          </w:tcPr>
          <w:p w:rsidR="009D6C6B" w:rsidRPr="002734C4" w:rsidRDefault="002734C4"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51,7</w:t>
            </w:r>
          </w:p>
        </w:tc>
        <w:tc>
          <w:tcPr>
            <w:tcW w:w="1316" w:type="dxa"/>
          </w:tcPr>
          <w:p w:rsidR="009D6C6B" w:rsidRPr="002734C4" w:rsidRDefault="002734C4" w:rsidP="009D6C6B">
            <w:pPr>
              <w:jc w:val="both"/>
              <w:rPr>
                <w:rFonts w:ascii="Times New Roman" w:eastAsia="Times New Roman" w:hAnsi="Times New Roman" w:cs="Times New Roman"/>
                <w:i/>
                <w:color w:val="212529"/>
                <w:sz w:val="18"/>
                <w:szCs w:val="18"/>
              </w:rPr>
            </w:pPr>
            <w:r w:rsidRPr="002734C4">
              <w:rPr>
                <w:rFonts w:ascii="Times New Roman" w:eastAsia="Times New Roman" w:hAnsi="Times New Roman" w:cs="Times New Roman"/>
                <w:i/>
                <w:color w:val="212529"/>
                <w:sz w:val="18"/>
                <w:szCs w:val="18"/>
              </w:rPr>
              <w:t>45,8</w:t>
            </w:r>
          </w:p>
        </w:tc>
      </w:tr>
    </w:tbl>
    <w:p w:rsidR="009D6C6B" w:rsidRPr="009D6C6B" w:rsidRDefault="009D6C6B" w:rsidP="009D6C6B">
      <w:pPr>
        <w:spacing w:after="0" w:line="240" w:lineRule="auto"/>
        <w:jc w:val="both"/>
        <w:rPr>
          <w:rFonts w:ascii="Times New Roman" w:eastAsia="Times New Roman" w:hAnsi="Times New Roman" w:cs="Times New Roman"/>
          <w:i/>
          <w:color w:val="212529"/>
          <w:sz w:val="20"/>
          <w:szCs w:val="20"/>
        </w:rPr>
      </w:pPr>
    </w:p>
    <w:p w:rsidR="002734C4" w:rsidRDefault="002734C4" w:rsidP="002734C4">
      <w:pPr>
        <w:pStyle w:val="Balk4"/>
        <w:spacing w:before="0" w:beforeAutospacing="0"/>
        <w:jc w:val="both"/>
        <w:rPr>
          <w:bCs w:val="0"/>
          <w:i/>
          <w:color w:val="212529"/>
        </w:rPr>
      </w:pPr>
    </w:p>
    <w:p w:rsidR="002734C4" w:rsidRPr="009A5170" w:rsidRDefault="002734C4" w:rsidP="002734C4">
      <w:pPr>
        <w:pStyle w:val="Balk4"/>
        <w:spacing w:before="0" w:beforeAutospacing="0"/>
        <w:jc w:val="both"/>
        <w:rPr>
          <w:bCs w:val="0"/>
          <w:i/>
          <w:color w:val="212529"/>
          <w:u w:val="single"/>
        </w:rPr>
      </w:pPr>
      <w:r w:rsidRPr="009A5170">
        <w:rPr>
          <w:bCs w:val="0"/>
          <w:i/>
          <w:color w:val="212529"/>
          <w:u w:val="single"/>
        </w:rPr>
        <w:t>Ülkenin Dış Ticaretinde Başlıca Ürünler</w:t>
      </w:r>
    </w:p>
    <w:p w:rsidR="002734C4" w:rsidRPr="003F0A71" w:rsidRDefault="002734C4" w:rsidP="003F0A71">
      <w:pPr>
        <w:pStyle w:val="Balk4"/>
        <w:spacing w:before="0" w:beforeAutospacing="0"/>
        <w:jc w:val="both"/>
        <w:rPr>
          <w:bCs w:val="0"/>
          <w:color w:val="212529"/>
          <w:sz w:val="18"/>
          <w:szCs w:val="18"/>
          <w:shd w:val="clear" w:color="auto" w:fill="FFFFFF"/>
        </w:rPr>
      </w:pPr>
      <w:r w:rsidRPr="002734C4">
        <w:rPr>
          <w:rStyle w:val="Gl"/>
          <w:b/>
          <w:color w:val="212529"/>
          <w:sz w:val="18"/>
          <w:szCs w:val="18"/>
          <w:shd w:val="clear" w:color="auto" w:fill="FFFFFF"/>
        </w:rPr>
        <w:t>İtalya’nın İhracatında Başlıca Ürünler (1 000 $)</w:t>
      </w:r>
    </w:p>
    <w:tbl>
      <w:tblPr>
        <w:tblW w:w="5000" w:type="pct"/>
        <w:tblCellMar>
          <w:left w:w="0" w:type="dxa"/>
          <w:right w:w="0" w:type="dxa"/>
        </w:tblCellMar>
        <w:tblLook w:val="04A0"/>
      </w:tblPr>
      <w:tblGrid>
        <w:gridCol w:w="730"/>
        <w:gridCol w:w="2336"/>
        <w:gridCol w:w="1406"/>
        <w:gridCol w:w="1417"/>
        <w:gridCol w:w="1417"/>
        <w:gridCol w:w="1195"/>
        <w:gridCol w:w="787"/>
      </w:tblGrid>
      <w:tr w:rsidR="003F0A71" w:rsidRPr="003F0A71" w:rsidTr="003F0A71">
        <w:trPr>
          <w:trHeight w:val="186"/>
        </w:trPr>
        <w:tc>
          <w:tcPr>
            <w:tcW w:w="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lastRenderedPageBreak/>
              <w:t>GTİP NO</w:t>
            </w:r>
          </w:p>
        </w:tc>
        <w:tc>
          <w:tcPr>
            <w:tcW w:w="19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GTİP TANIMI</w:t>
            </w:r>
          </w:p>
        </w:tc>
        <w:tc>
          <w:tcPr>
            <w:tcW w:w="11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2016</w:t>
            </w:r>
          </w:p>
        </w:tc>
        <w:tc>
          <w:tcPr>
            <w:tcW w:w="11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2017</w:t>
            </w:r>
          </w:p>
        </w:tc>
        <w:tc>
          <w:tcPr>
            <w:tcW w:w="11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2018</w:t>
            </w:r>
          </w:p>
        </w:tc>
        <w:tc>
          <w:tcPr>
            <w:tcW w:w="1003"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2017-2018</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Değişim</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w:t>
            </w:r>
          </w:p>
        </w:tc>
        <w:tc>
          <w:tcPr>
            <w:tcW w:w="6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2018</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Pay</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Genel Toplam</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461.529.407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503.053.928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546.642.573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100,0</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3004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Tedavide/korunmada kullanılmak üzere hazırlanan ilaçlar (</w:t>
            </w:r>
            <w:proofErr w:type="spellStart"/>
            <w:r w:rsidRPr="003F0A71">
              <w:rPr>
                <w:rFonts w:ascii="Times New Roman" w:eastAsia="Times New Roman" w:hAnsi="Times New Roman" w:cs="Times New Roman"/>
                <w:i/>
                <w:color w:val="212529"/>
                <w:sz w:val="16"/>
                <w:szCs w:val="16"/>
              </w:rPr>
              <w:t>dozlandırılmış</w:t>
            </w:r>
            <w:proofErr w:type="spellEnd"/>
            <w:r w:rsidRPr="003F0A71">
              <w:rPr>
                <w:rFonts w:ascii="Times New Roman" w:eastAsia="Times New Roman" w:hAnsi="Times New Roman" w:cs="Times New Roman"/>
                <w:i/>
                <w:color w:val="212529"/>
                <w:sz w:val="16"/>
                <w:szCs w:val="16"/>
              </w:rPr>
              <w:t>)</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16.642.589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18.275.651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19.361.660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Otomobil, steyşın vagonlar, yarış arabaları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15.169.863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18.021.383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16.893.666</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2710</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Petrol yağları ve </w:t>
            </w:r>
            <w:proofErr w:type="spellStart"/>
            <w:r w:rsidRPr="003F0A71">
              <w:rPr>
                <w:rFonts w:ascii="Times New Roman" w:eastAsia="Times New Roman" w:hAnsi="Times New Roman" w:cs="Times New Roman"/>
                <w:i/>
                <w:color w:val="212529"/>
                <w:sz w:val="16"/>
                <w:szCs w:val="16"/>
              </w:rPr>
              <w:t>bitümenli</w:t>
            </w:r>
            <w:proofErr w:type="spellEnd"/>
            <w:r w:rsidRPr="003F0A71">
              <w:rPr>
                <w:rFonts w:ascii="Times New Roman" w:eastAsia="Times New Roman" w:hAnsi="Times New Roman" w:cs="Times New Roman"/>
                <w:i/>
                <w:color w:val="212529"/>
                <w:sz w:val="16"/>
                <w:szCs w:val="16"/>
              </w:rPr>
              <w:t xml:space="preserve"> minerallerden elde edilen yağlar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10.517.594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14.512.126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16.772.644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15,6</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8708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Kara taşıtları için aksam, 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12.517.507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13.656.120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15.319.053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4202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Deri ve kösele vb.den seyahat eşyası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6.511.886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7.455.051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8.606.332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8481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Muslukçu, borucu eşyası-basınç düşürücü, </w:t>
            </w:r>
            <w:proofErr w:type="spellStart"/>
            <w:r w:rsidRPr="003F0A71">
              <w:rPr>
                <w:rFonts w:ascii="Times New Roman" w:eastAsia="Times New Roman" w:hAnsi="Times New Roman" w:cs="Times New Roman"/>
                <w:i/>
                <w:color w:val="212529"/>
                <w:sz w:val="16"/>
                <w:szCs w:val="16"/>
              </w:rPr>
              <w:t>termostatik</w:t>
            </w:r>
            <w:proofErr w:type="spellEnd"/>
            <w:r w:rsidRPr="003F0A71">
              <w:rPr>
                <w:rFonts w:ascii="Times New Roman" w:eastAsia="Times New Roman" w:hAnsi="Times New Roman" w:cs="Times New Roman"/>
                <w:i/>
                <w:color w:val="212529"/>
                <w:sz w:val="16"/>
                <w:szCs w:val="16"/>
              </w:rPr>
              <w:t xml:space="preserve"> valf </w:t>
            </w:r>
            <w:proofErr w:type="gramStart"/>
            <w:r w:rsidRPr="003F0A71">
              <w:rPr>
                <w:rFonts w:ascii="Times New Roman" w:eastAsia="Times New Roman" w:hAnsi="Times New Roman" w:cs="Times New Roman"/>
                <w:i/>
                <w:color w:val="212529"/>
                <w:sz w:val="16"/>
                <w:szCs w:val="16"/>
              </w:rPr>
              <w:t>dahil</w:t>
            </w:r>
            <w:proofErr w:type="gramEnd"/>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7.242.399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7.583.643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8.209.041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w:t>
            </w:r>
          </w:p>
        </w:tc>
      </w:tr>
      <w:tr w:rsidR="003F0A71" w:rsidRPr="003F0A71" w:rsidTr="003F0A71">
        <w:trPr>
          <w:trHeight w:val="362"/>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6403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Balık (taze/soğutulmuş)</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7.587.274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7.708.094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8.108.741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w:t>
            </w:r>
          </w:p>
        </w:tc>
      </w:tr>
      <w:tr w:rsidR="003F0A71" w:rsidRPr="003F0A71" w:rsidTr="003F0A71">
        <w:trPr>
          <w:trHeight w:val="334"/>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9403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Diğer mobilyalar vb. Aksam, 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6.910.139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7.223.066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7.801.035</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8,0</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3002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İnsan ve hayvan kanı, serum, aşı, toksin vb. ürünler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3.640.197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6.355.936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7.365.771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2204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Taze üzüm şarabı (kuvvetlendirilmiş şaraplar </w:t>
            </w:r>
            <w:proofErr w:type="gramStart"/>
            <w:r w:rsidRPr="003F0A71">
              <w:rPr>
                <w:rFonts w:ascii="Times New Roman" w:eastAsia="Times New Roman" w:hAnsi="Times New Roman" w:cs="Times New Roman"/>
                <w:i/>
                <w:color w:val="212529"/>
                <w:sz w:val="16"/>
                <w:szCs w:val="16"/>
              </w:rPr>
              <w:t>dahil</w:t>
            </w:r>
            <w:proofErr w:type="gramEnd"/>
            <w:r w:rsidRPr="003F0A71">
              <w:rPr>
                <w:rFonts w:ascii="Times New Roman" w:eastAsia="Times New Roman" w:hAnsi="Times New Roman" w:cs="Times New Roman"/>
                <w:i/>
                <w:color w:val="212529"/>
                <w:sz w:val="16"/>
                <w:szCs w:val="16"/>
              </w:rPr>
              <w:t>)üzüm şırası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6.222.026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6.762.266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7.313.691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7113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Kıymetli metaller ve kaplamalarından mücevherci eşyası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6.048.677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6.969.438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7.064.533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8422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Yıkama, temizleme, kurutma, doldurma vb. işler için makine, cihaz</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5.894.848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6.349.041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6.960.748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9,6</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8479</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Kendine özgü fonksiyonlu makine ve cihazlar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5.106.804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5.515.508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5.922.573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1,1</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Eşya taşımaya mahsus motorlu taşıtlar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5.172.499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5.311.280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5.612.351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1,0</w:t>
            </w:r>
          </w:p>
        </w:tc>
      </w:tr>
      <w:tr w:rsidR="003F0A71" w:rsidRPr="003F0A71" w:rsidTr="003F0A71">
        <w:trPr>
          <w:trHeight w:val="362"/>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6907</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Karo, küpler vb. eşya-cilasız/sırsız seramikten</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1.891.165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4.596.419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4.676.601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0,9</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Sıvılar için pompalar, sıvı </w:t>
            </w:r>
            <w:proofErr w:type="spellStart"/>
            <w:r w:rsidRPr="003F0A71">
              <w:rPr>
                <w:rFonts w:ascii="Times New Roman" w:eastAsia="Times New Roman" w:hAnsi="Times New Roman" w:cs="Times New Roman"/>
                <w:i/>
                <w:color w:val="212529"/>
                <w:sz w:val="16"/>
                <w:szCs w:val="16"/>
              </w:rPr>
              <w:t>elevatörleri</w:t>
            </w:r>
            <w:proofErr w:type="spellEnd"/>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3.936.734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4.247.322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4.510.083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0,8</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8419</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Isı değişikliği yöntemi ile maddeleri işlemek için cihazlar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3.610.892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4.132.804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4.046.731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Hava-vakum pompası, hava/gaz kompresörü, vantilatör, aspiratör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4.459.937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4.363.494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3.974.934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7306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Demir/çelikten diğer tüpler, borular, içi boş </w:t>
            </w:r>
            <w:proofErr w:type="gramStart"/>
            <w:r w:rsidRPr="003F0A71">
              <w:rPr>
                <w:rFonts w:ascii="Times New Roman" w:eastAsia="Times New Roman" w:hAnsi="Times New Roman" w:cs="Times New Roman"/>
                <w:i/>
                <w:color w:val="212529"/>
                <w:sz w:val="16"/>
                <w:szCs w:val="16"/>
              </w:rPr>
              <w:t>profiller</w:t>
            </w:r>
            <w:proofErr w:type="gramEnd"/>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3.067.773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3.595.697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3.936.448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9,5</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7326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Demir/çelikten diğer eşya</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2.970.426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3.329.638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3.834.674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9401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Oturmaya mahsus mobilyalar, aksam-parçaları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3.333.260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3.558.420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3.806.193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7,0</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8483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Transmisyon milleri, kranklar, yatak kovanları, dişliler, çarklar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2.874.642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3.252.312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3.641.628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12,0</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8544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İzole edilmiş tel, kablo; diğer izole edilmiş elektrik iletkenleri; fiber optik </w:t>
            </w:r>
            <w:proofErr w:type="spellStart"/>
            <w:r w:rsidRPr="003F0A71">
              <w:rPr>
                <w:rFonts w:ascii="Times New Roman" w:eastAsia="Times New Roman" w:hAnsi="Times New Roman" w:cs="Times New Roman"/>
                <w:i/>
                <w:color w:val="212529"/>
                <w:sz w:val="16"/>
                <w:szCs w:val="16"/>
              </w:rPr>
              <w:t>kabloalr</w:t>
            </w:r>
            <w:proofErr w:type="spellEnd"/>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2.891.402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3.239.417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3.566.962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10,1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353"/>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6204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Kadın/kız çocuk için takım, takım elbise, ceket vs.</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3.239.001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3.333.638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3.519.927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5,6</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390"/>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proofErr w:type="spellStart"/>
            <w:r w:rsidRPr="003F0A71">
              <w:rPr>
                <w:rFonts w:ascii="Times New Roman" w:eastAsia="Times New Roman" w:hAnsi="Times New Roman" w:cs="Times New Roman"/>
                <w:i/>
                <w:color w:val="212529"/>
                <w:sz w:val="16"/>
                <w:szCs w:val="16"/>
              </w:rPr>
              <w:t>Turbojetler</w:t>
            </w:r>
            <w:proofErr w:type="spellEnd"/>
            <w:r w:rsidRPr="003F0A71">
              <w:rPr>
                <w:rFonts w:ascii="Times New Roman" w:eastAsia="Times New Roman" w:hAnsi="Times New Roman" w:cs="Times New Roman"/>
                <w:i/>
                <w:color w:val="212529"/>
                <w:sz w:val="16"/>
                <w:szCs w:val="16"/>
              </w:rPr>
              <w:t>, turbo-</w:t>
            </w:r>
            <w:proofErr w:type="spellStart"/>
            <w:r w:rsidRPr="003F0A71">
              <w:rPr>
                <w:rFonts w:ascii="Times New Roman" w:eastAsia="Times New Roman" w:hAnsi="Times New Roman" w:cs="Times New Roman"/>
                <w:i/>
                <w:color w:val="212529"/>
                <w:sz w:val="16"/>
                <w:szCs w:val="16"/>
              </w:rPr>
              <w:t>propeller</w:t>
            </w:r>
            <w:proofErr w:type="spellEnd"/>
            <w:r w:rsidRPr="003F0A71">
              <w:rPr>
                <w:rFonts w:ascii="Times New Roman" w:eastAsia="Times New Roman" w:hAnsi="Times New Roman" w:cs="Times New Roman"/>
                <w:i/>
                <w:color w:val="212529"/>
                <w:sz w:val="16"/>
                <w:szCs w:val="16"/>
              </w:rPr>
              <w:t>, diğer gaz türbinleri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3.713.387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3.868.220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3.504.832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8431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Ağır iş makine ve cihazlarının aksamı, 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2.744.260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3.077.172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3.484.515</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8517</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Telli telefon-telgraf için elektrikli cihazlar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2.397.107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2.727.449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3.399.658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24,6</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Buzdolapları, dondurucular, soğutucular, ısı pompaları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3.017.416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3.087.806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3.381.092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9,5</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69"/>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3926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Plastikten diğer eşya</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2.728.336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3.025.769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3.324.278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51"/>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0406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Peynir ve lor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2.675.562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2.974.410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3.263.813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8803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Balon, hava gemisi, planör vb. diğer hava taşıtlarının aksam ve 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3.206.602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3.120.967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3.239.719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3,8</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lastRenderedPageBreak/>
              <w:t>8901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Yolcu gemileri, gezinti gemileri, feribotlar, yük gemileri, mavnalar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2.662.489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2.787.598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3.238.898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6110</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Kazak, süveter, hırka, yelek vb. eşya (örme)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2.570.903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2.806.554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3.192.249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31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4107</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Sığır ve atların </w:t>
            </w:r>
            <w:proofErr w:type="spellStart"/>
            <w:r w:rsidRPr="003F0A71">
              <w:rPr>
                <w:rFonts w:ascii="Times New Roman" w:eastAsia="Times New Roman" w:hAnsi="Times New Roman" w:cs="Times New Roman"/>
                <w:i/>
                <w:color w:val="212529"/>
                <w:sz w:val="16"/>
                <w:szCs w:val="16"/>
              </w:rPr>
              <w:t>dabaklanmış</w:t>
            </w:r>
            <w:proofErr w:type="spellEnd"/>
            <w:r w:rsidRPr="003F0A71">
              <w:rPr>
                <w:rFonts w:ascii="Times New Roman" w:eastAsia="Times New Roman" w:hAnsi="Times New Roman" w:cs="Times New Roman"/>
                <w:i/>
                <w:color w:val="212529"/>
                <w:sz w:val="16"/>
                <w:szCs w:val="16"/>
              </w:rPr>
              <w:t xml:space="preserve"> ve hazırlanmış deri ve köselesi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2.897.158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2.982.074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3.069.260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9004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Gözlükler, güneş gözlükleri (numaralı, koruyucu vb.)</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2.736.929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2.820.723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2.970.941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8536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Gerilimi 1000 voltu geçmeyen elektrik devresi teçhizatı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2.564.371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2.781.988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2.914.173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4,8</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1902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Makarnalar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2.595.695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2.628.182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2.859.281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8,8</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8408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Dizel, yarı dizel motorlar (hava basıncı ile ateşlenen, pistonlu)</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2.320.790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2.630.042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2.851.727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3920</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Plastikten diğer levha, yaprak, pelikül ve lamlar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2.585.286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2.808.061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2.843.512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8516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Elektrikli su ısıtıcıları, </w:t>
            </w:r>
            <w:proofErr w:type="spellStart"/>
            <w:r w:rsidRPr="003F0A71">
              <w:rPr>
                <w:rFonts w:ascii="Times New Roman" w:eastAsia="Times New Roman" w:hAnsi="Times New Roman" w:cs="Times New Roman"/>
                <w:i/>
                <w:color w:val="212529"/>
                <w:sz w:val="16"/>
                <w:szCs w:val="16"/>
              </w:rPr>
              <w:t>elektrotermik</w:t>
            </w:r>
            <w:proofErr w:type="spellEnd"/>
            <w:r w:rsidRPr="003F0A71">
              <w:rPr>
                <w:rFonts w:ascii="Times New Roman" w:eastAsia="Times New Roman" w:hAnsi="Times New Roman" w:cs="Times New Roman"/>
                <w:i/>
                <w:color w:val="212529"/>
                <w:sz w:val="16"/>
                <w:szCs w:val="16"/>
              </w:rPr>
              <w:t xml:space="preserve"> cihazlar (şofbenler)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2.350.995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2.577.680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2.822.613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9,5</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bl>
    <w:p w:rsidR="003F0A71" w:rsidRPr="003F0A71" w:rsidRDefault="003F0A71" w:rsidP="003F0A71">
      <w:pPr>
        <w:spacing w:after="100" w:afterAutospacing="1" w:line="240" w:lineRule="auto"/>
        <w:jc w:val="both"/>
        <w:rPr>
          <w:rFonts w:ascii="Times New Roman" w:eastAsia="Times New Roman" w:hAnsi="Times New Roman" w:cs="Times New Roman"/>
          <w:i/>
          <w:color w:val="212529"/>
          <w:sz w:val="16"/>
          <w:szCs w:val="16"/>
        </w:rPr>
      </w:pPr>
      <w:proofErr w:type="gramStart"/>
      <w:r>
        <w:rPr>
          <w:rFonts w:ascii="Times New Roman" w:eastAsia="Times New Roman" w:hAnsi="Times New Roman" w:cs="Times New Roman"/>
          <w:i/>
          <w:iCs/>
          <w:color w:val="212529"/>
          <w:sz w:val="16"/>
          <w:szCs w:val="16"/>
        </w:rPr>
        <w:t>Kaynak:ITC</w:t>
      </w:r>
      <w:proofErr w:type="gramEnd"/>
      <w:r>
        <w:rPr>
          <w:rFonts w:ascii="Times New Roman" w:eastAsia="Times New Roman" w:hAnsi="Times New Roman" w:cs="Times New Roman"/>
          <w:i/>
          <w:iCs/>
          <w:color w:val="212529"/>
          <w:sz w:val="16"/>
          <w:szCs w:val="16"/>
        </w:rPr>
        <w:t>-</w:t>
      </w:r>
      <w:proofErr w:type="spellStart"/>
      <w:r>
        <w:rPr>
          <w:rFonts w:ascii="Times New Roman" w:eastAsia="Times New Roman" w:hAnsi="Times New Roman" w:cs="Times New Roman"/>
          <w:i/>
          <w:iCs/>
          <w:color w:val="212529"/>
          <w:sz w:val="16"/>
          <w:szCs w:val="16"/>
        </w:rPr>
        <w:t>Trade</w:t>
      </w:r>
      <w:r w:rsidRPr="003F0A71">
        <w:rPr>
          <w:rFonts w:ascii="Times New Roman" w:eastAsia="Times New Roman" w:hAnsi="Times New Roman" w:cs="Times New Roman"/>
          <w:i/>
          <w:iCs/>
          <w:color w:val="212529"/>
          <w:sz w:val="16"/>
          <w:szCs w:val="16"/>
        </w:rPr>
        <w:t>Map</w:t>
      </w:r>
      <w:proofErr w:type="spellEnd"/>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i/>
          <w:color w:val="212529"/>
          <w:sz w:val="16"/>
          <w:szCs w:val="16"/>
        </w:rPr>
        <w:br/>
      </w:r>
      <w:r w:rsidRPr="009A5170">
        <w:rPr>
          <w:rFonts w:ascii="Times New Roman" w:eastAsia="Times New Roman" w:hAnsi="Times New Roman" w:cs="Times New Roman"/>
          <w:b/>
          <w:bCs/>
          <w:i/>
          <w:color w:val="212529"/>
          <w:sz w:val="18"/>
          <w:szCs w:val="18"/>
          <w:u w:val="single"/>
        </w:rPr>
        <w:t>İtalya’nın İthalatında Başlıca Ürünler (1 000 $)</w:t>
      </w:r>
    </w:p>
    <w:tbl>
      <w:tblPr>
        <w:tblW w:w="5000" w:type="pct"/>
        <w:tblCellMar>
          <w:left w:w="0" w:type="dxa"/>
          <w:right w:w="0" w:type="dxa"/>
        </w:tblCellMar>
        <w:tblLook w:val="04A0"/>
      </w:tblPr>
      <w:tblGrid>
        <w:gridCol w:w="730"/>
        <w:gridCol w:w="2336"/>
        <w:gridCol w:w="1406"/>
        <w:gridCol w:w="1417"/>
        <w:gridCol w:w="1417"/>
        <w:gridCol w:w="1195"/>
        <w:gridCol w:w="787"/>
      </w:tblGrid>
      <w:tr w:rsidR="003F0A71" w:rsidRPr="003F0A71" w:rsidTr="003F0A71">
        <w:trPr>
          <w:trHeight w:val="186"/>
        </w:trPr>
        <w:tc>
          <w:tcPr>
            <w:tcW w:w="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GTİP NO</w:t>
            </w:r>
          </w:p>
        </w:tc>
        <w:tc>
          <w:tcPr>
            <w:tcW w:w="19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GTİP TANIMI</w:t>
            </w:r>
          </w:p>
        </w:tc>
        <w:tc>
          <w:tcPr>
            <w:tcW w:w="11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2016</w:t>
            </w:r>
          </w:p>
        </w:tc>
        <w:tc>
          <w:tcPr>
            <w:tcW w:w="11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2017</w:t>
            </w:r>
          </w:p>
        </w:tc>
        <w:tc>
          <w:tcPr>
            <w:tcW w:w="11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2018</w:t>
            </w:r>
          </w:p>
        </w:tc>
        <w:tc>
          <w:tcPr>
            <w:tcW w:w="1003"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2017-2018</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Değişim</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w:t>
            </w:r>
          </w:p>
        </w:tc>
        <w:tc>
          <w:tcPr>
            <w:tcW w:w="660" w:type="dxa"/>
            <w:tcBorders>
              <w:top w:val="single" w:sz="8" w:space="0" w:color="000000"/>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2018</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Pay</w:t>
            </w:r>
            <w:r w:rsidRPr="003F0A71">
              <w:rPr>
                <w:rFonts w:ascii="Times New Roman" w:eastAsia="Times New Roman" w:hAnsi="Times New Roman" w:cs="Times New Roman"/>
                <w:i/>
                <w:color w:val="212529"/>
                <w:sz w:val="16"/>
                <w:szCs w:val="16"/>
              </w:rPr>
              <w:br/>
            </w:r>
            <w:r w:rsidRPr="003F0A71">
              <w:rPr>
                <w:rFonts w:ascii="Times New Roman" w:eastAsia="Times New Roman" w:hAnsi="Times New Roman" w:cs="Times New Roman"/>
                <w:b/>
                <w:bCs/>
                <w:i/>
                <w:color w:val="212529"/>
                <w:sz w:val="16"/>
                <w:szCs w:val="16"/>
              </w:rPr>
              <w:t>%</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Genel Toplam</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404.577.979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451.415.535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500.794.509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10,9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100,0</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2709</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Ham petrol (petrol yağları ve </w:t>
            </w:r>
            <w:proofErr w:type="spellStart"/>
            <w:r w:rsidRPr="003F0A71">
              <w:rPr>
                <w:rFonts w:ascii="Times New Roman" w:eastAsia="Times New Roman" w:hAnsi="Times New Roman" w:cs="Times New Roman"/>
                <w:i/>
                <w:color w:val="212529"/>
                <w:sz w:val="16"/>
                <w:szCs w:val="16"/>
              </w:rPr>
              <w:t>bitümenli</w:t>
            </w:r>
            <w:proofErr w:type="spellEnd"/>
            <w:r w:rsidRPr="003F0A71">
              <w:rPr>
                <w:rFonts w:ascii="Times New Roman" w:eastAsia="Times New Roman" w:hAnsi="Times New Roman" w:cs="Times New Roman"/>
                <w:i/>
                <w:color w:val="212529"/>
                <w:sz w:val="16"/>
                <w:szCs w:val="16"/>
              </w:rPr>
              <w:t xml:space="preserve"> minerallerden elde edilen yağlar)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18.893.126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26.098.437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32.502.230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24,5</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Otomobil, steyşın vagonlar, yarış arabaları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27.480.864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31.186.725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32.461.584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6,5</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2711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Petrol gazları ve diğer gazlı hidrokarbonlar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12.372.165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15.636.336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19.441.580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24,3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3,9</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3004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Tedavide/korunmada kullanılmak üzere hazırlanan ilaçlar (</w:t>
            </w:r>
            <w:proofErr w:type="spellStart"/>
            <w:r w:rsidRPr="003F0A71">
              <w:rPr>
                <w:rFonts w:ascii="Times New Roman" w:eastAsia="Times New Roman" w:hAnsi="Times New Roman" w:cs="Times New Roman"/>
                <w:i/>
                <w:color w:val="212529"/>
                <w:sz w:val="16"/>
                <w:szCs w:val="16"/>
              </w:rPr>
              <w:t>dozlandırılmış</w:t>
            </w:r>
            <w:proofErr w:type="spellEnd"/>
            <w:r w:rsidRPr="003F0A71">
              <w:rPr>
                <w:rFonts w:ascii="Times New Roman" w:eastAsia="Times New Roman" w:hAnsi="Times New Roman" w:cs="Times New Roman"/>
                <w:i/>
                <w:color w:val="212529"/>
                <w:sz w:val="16"/>
                <w:szCs w:val="16"/>
              </w:rPr>
              <w:t>)</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14.414.346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15.135.436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16.027.121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2710</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Petrol yağları ve </w:t>
            </w:r>
            <w:proofErr w:type="spellStart"/>
            <w:r w:rsidRPr="003F0A71">
              <w:rPr>
                <w:rFonts w:ascii="Times New Roman" w:eastAsia="Times New Roman" w:hAnsi="Times New Roman" w:cs="Times New Roman"/>
                <w:i/>
                <w:color w:val="212529"/>
                <w:sz w:val="16"/>
                <w:szCs w:val="16"/>
              </w:rPr>
              <w:t>bitümenli</w:t>
            </w:r>
            <w:proofErr w:type="spellEnd"/>
            <w:r w:rsidRPr="003F0A71">
              <w:rPr>
                <w:rFonts w:ascii="Times New Roman" w:eastAsia="Times New Roman" w:hAnsi="Times New Roman" w:cs="Times New Roman"/>
                <w:i/>
                <w:color w:val="212529"/>
                <w:sz w:val="16"/>
                <w:szCs w:val="16"/>
              </w:rPr>
              <w:t xml:space="preserve"> minerallerden elde edilen yağlar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6.264.546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7.673.598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9.973.263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30,0</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3002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İnsan ve hayvan kanı, serum, aşı, toksin vb. ürünler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5.035.801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6.940.098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9.440.817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36,0</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8517</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Balık (taze/soğutulmuş)</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7.650.714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8.494.058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8.953.327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8708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Kara taşıtları için aksam, 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7.834.066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8.532.664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8.785.235</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8471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Otomatik bilgi işlem makineleri, üniteleri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4.632.828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5.006.465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5.265.188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1,1</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7108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Altın (ham, yarı işlenmiş, pudra halinde)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3.672.812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3.605.112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4.040.142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0,8</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7208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Demir/çelik sıcak hadde yassı mamulleri-genişlik 600mm. </w:t>
            </w:r>
            <w:proofErr w:type="gramStart"/>
            <w:r w:rsidRPr="003F0A71">
              <w:rPr>
                <w:rFonts w:ascii="Times New Roman" w:eastAsia="Times New Roman" w:hAnsi="Times New Roman" w:cs="Times New Roman"/>
                <w:i/>
                <w:color w:val="212529"/>
                <w:sz w:val="16"/>
                <w:szCs w:val="16"/>
              </w:rPr>
              <w:t>fazla</w:t>
            </w:r>
            <w:proofErr w:type="gramEnd"/>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2.503.971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3.395.773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3.935.165</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0,8</w:t>
            </w:r>
          </w:p>
        </w:tc>
      </w:tr>
      <w:tr w:rsidR="003F0A71" w:rsidRPr="003F0A71" w:rsidTr="003F0A71">
        <w:trPr>
          <w:trHeight w:val="353"/>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7403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Arıtılmış bakır, işlenmemiş bakır alaşımları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3.035.885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4.022.247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3.807.613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0,8</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2933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Sadece azotlu </w:t>
            </w:r>
            <w:proofErr w:type="spellStart"/>
            <w:r w:rsidRPr="003F0A71">
              <w:rPr>
                <w:rFonts w:ascii="Times New Roman" w:eastAsia="Times New Roman" w:hAnsi="Times New Roman" w:cs="Times New Roman"/>
                <w:i/>
                <w:color w:val="212529"/>
                <w:sz w:val="16"/>
                <w:szCs w:val="16"/>
              </w:rPr>
              <w:t>heterosiklik</w:t>
            </w:r>
            <w:proofErr w:type="spellEnd"/>
            <w:r w:rsidRPr="003F0A71">
              <w:rPr>
                <w:rFonts w:ascii="Times New Roman" w:eastAsia="Times New Roman" w:hAnsi="Times New Roman" w:cs="Times New Roman"/>
                <w:i/>
                <w:color w:val="212529"/>
                <w:sz w:val="16"/>
                <w:szCs w:val="16"/>
              </w:rPr>
              <w:t xml:space="preserve"> bileşikler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3.562.935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2.877.718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3.694.919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9018</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Tıp, cerrahi, dişçilik, veterinerlik alet ve cihazları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2.920.140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3.223.170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3.498.617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8,5</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4202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Deri ve kösele vb.den seyahat eşyası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2.615.359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2.883.460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3.478.893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20,6</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8704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Eşya taşımaya mahsus motorlu taşıtlar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3.058.745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3.306.833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3.458.383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4,6</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0,7</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7601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İşlenmemiş alüminyum</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2.276.513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2.754.669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3.121.879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6403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Ayakkabı; yüzü deri, tabanı kauçuk, plastik, tabii, suni vb. kösele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2.793.272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2.717.975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3.084.782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13,5</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353"/>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2716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Elektrik enerjisi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1.866.730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2.349.178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3.079.617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7219</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Paslanmaz çelikten yassı hadde mamulü (600mm den geniş)</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2.133.373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2.697.069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3.032.490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3901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Etilen polimerleri (ilk şekillerde)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2.735.351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2.672.500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2.882.768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0,6</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lastRenderedPageBreak/>
              <w:t>3907</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proofErr w:type="spellStart"/>
            <w:r w:rsidRPr="003F0A71">
              <w:rPr>
                <w:rFonts w:ascii="Times New Roman" w:eastAsia="Times New Roman" w:hAnsi="Times New Roman" w:cs="Times New Roman"/>
                <w:i/>
                <w:color w:val="212529"/>
                <w:sz w:val="16"/>
                <w:szCs w:val="16"/>
              </w:rPr>
              <w:t>Poliasetaller</w:t>
            </w:r>
            <w:proofErr w:type="spellEnd"/>
            <w:r w:rsidRPr="003F0A71">
              <w:rPr>
                <w:rFonts w:ascii="Times New Roman" w:eastAsia="Times New Roman" w:hAnsi="Times New Roman" w:cs="Times New Roman"/>
                <w:i/>
                <w:color w:val="212529"/>
                <w:sz w:val="16"/>
                <w:szCs w:val="16"/>
              </w:rPr>
              <w:t xml:space="preserve">, diğer </w:t>
            </w:r>
            <w:proofErr w:type="spellStart"/>
            <w:r w:rsidRPr="003F0A71">
              <w:rPr>
                <w:rFonts w:ascii="Times New Roman" w:eastAsia="Times New Roman" w:hAnsi="Times New Roman" w:cs="Times New Roman"/>
                <w:i/>
                <w:color w:val="212529"/>
                <w:sz w:val="16"/>
                <w:szCs w:val="16"/>
              </w:rPr>
              <w:t>polieterler</w:t>
            </w:r>
            <w:proofErr w:type="spellEnd"/>
            <w:r w:rsidRPr="003F0A71">
              <w:rPr>
                <w:rFonts w:ascii="Times New Roman" w:eastAsia="Times New Roman" w:hAnsi="Times New Roman" w:cs="Times New Roman"/>
                <w:i/>
                <w:color w:val="212529"/>
                <w:sz w:val="16"/>
                <w:szCs w:val="16"/>
              </w:rPr>
              <w:t xml:space="preserve">, </w:t>
            </w:r>
            <w:proofErr w:type="spellStart"/>
            <w:r w:rsidRPr="003F0A71">
              <w:rPr>
                <w:rFonts w:ascii="Times New Roman" w:eastAsia="Times New Roman" w:hAnsi="Times New Roman" w:cs="Times New Roman"/>
                <w:i/>
                <w:color w:val="212529"/>
                <w:sz w:val="16"/>
                <w:szCs w:val="16"/>
              </w:rPr>
              <w:t>epoksit</w:t>
            </w:r>
            <w:proofErr w:type="spellEnd"/>
            <w:r w:rsidRPr="003F0A71">
              <w:rPr>
                <w:rFonts w:ascii="Times New Roman" w:eastAsia="Times New Roman" w:hAnsi="Times New Roman" w:cs="Times New Roman"/>
                <w:i/>
                <w:color w:val="212529"/>
                <w:sz w:val="16"/>
                <w:szCs w:val="16"/>
              </w:rPr>
              <w:t>-</w:t>
            </w:r>
            <w:proofErr w:type="spellStart"/>
            <w:r w:rsidRPr="003F0A71">
              <w:rPr>
                <w:rFonts w:ascii="Times New Roman" w:eastAsia="Times New Roman" w:hAnsi="Times New Roman" w:cs="Times New Roman"/>
                <w:i/>
                <w:color w:val="212529"/>
                <w:sz w:val="16"/>
                <w:szCs w:val="16"/>
              </w:rPr>
              <w:t>alkid</w:t>
            </w:r>
            <w:proofErr w:type="spellEnd"/>
            <w:r w:rsidRPr="003F0A71">
              <w:rPr>
                <w:rFonts w:ascii="Times New Roman" w:eastAsia="Times New Roman" w:hAnsi="Times New Roman" w:cs="Times New Roman"/>
                <w:i/>
                <w:color w:val="212529"/>
                <w:sz w:val="16"/>
                <w:szCs w:val="16"/>
              </w:rPr>
              <w:t xml:space="preserve"> reçineler vb. (ilk şekilde)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1.939.517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2.319.377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2.664.390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14,9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3902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proofErr w:type="spellStart"/>
            <w:r w:rsidRPr="003F0A71">
              <w:rPr>
                <w:rFonts w:ascii="Times New Roman" w:eastAsia="Times New Roman" w:hAnsi="Times New Roman" w:cs="Times New Roman"/>
                <w:i/>
                <w:color w:val="212529"/>
                <w:sz w:val="16"/>
                <w:szCs w:val="16"/>
              </w:rPr>
              <w:t>Propilen</w:t>
            </w:r>
            <w:proofErr w:type="spellEnd"/>
            <w:r w:rsidRPr="003F0A71">
              <w:rPr>
                <w:rFonts w:ascii="Times New Roman" w:eastAsia="Times New Roman" w:hAnsi="Times New Roman" w:cs="Times New Roman"/>
                <w:i/>
                <w:color w:val="212529"/>
                <w:sz w:val="16"/>
                <w:szCs w:val="16"/>
              </w:rPr>
              <w:t xml:space="preserve"> ve diğer olefinlerin polimerleri (ilk şekillerde)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1.960.284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2.296.349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2.546.119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10,9</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390"/>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4703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Sodalı ve sülfatlı odun hamuru</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1.809.534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1.970.266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2.509.562</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4011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Kauçuktan yeni dış lastikler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1.989.297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2.156.657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2.417.644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6110</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Kazak, süveter, hırka, yelek vb. eşya (örme)</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1.880.217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1.927.571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2.366.771</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22,8</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8443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Matbaacılığa mahsus baskı makineleri, yardımcı makineler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2.158.309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2.190.427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2.324.998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6,1</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8536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Gerilimi 1000 voltu geçmeyen elektrik devresi teçhizatı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1.955.768</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2.139.622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2.303.324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0,5</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8409</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İçten yanmalı, pistonlu motorların aksam-parçaları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1.981.672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2.222.292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2.231.568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proofErr w:type="spellStart"/>
            <w:r w:rsidRPr="003F0A71">
              <w:rPr>
                <w:rFonts w:ascii="Times New Roman" w:eastAsia="Times New Roman" w:hAnsi="Times New Roman" w:cs="Times New Roman"/>
                <w:i/>
                <w:color w:val="212529"/>
                <w:sz w:val="16"/>
                <w:szCs w:val="16"/>
              </w:rPr>
              <w:t>Turbojetler</w:t>
            </w:r>
            <w:proofErr w:type="spellEnd"/>
            <w:r w:rsidRPr="003F0A71">
              <w:rPr>
                <w:rFonts w:ascii="Times New Roman" w:eastAsia="Times New Roman" w:hAnsi="Times New Roman" w:cs="Times New Roman"/>
                <w:i/>
                <w:color w:val="212529"/>
                <w:sz w:val="16"/>
                <w:szCs w:val="16"/>
              </w:rPr>
              <w:t>, turbo-</w:t>
            </w:r>
            <w:proofErr w:type="spellStart"/>
            <w:r w:rsidRPr="003F0A71">
              <w:rPr>
                <w:rFonts w:ascii="Times New Roman" w:eastAsia="Times New Roman" w:hAnsi="Times New Roman" w:cs="Times New Roman"/>
                <w:i/>
                <w:color w:val="212529"/>
                <w:sz w:val="16"/>
                <w:szCs w:val="16"/>
              </w:rPr>
              <w:t>propeller</w:t>
            </w:r>
            <w:proofErr w:type="spellEnd"/>
            <w:r w:rsidRPr="003F0A71">
              <w:rPr>
                <w:rFonts w:ascii="Times New Roman" w:eastAsia="Times New Roman" w:hAnsi="Times New Roman" w:cs="Times New Roman"/>
                <w:i/>
                <w:color w:val="212529"/>
                <w:sz w:val="16"/>
                <w:szCs w:val="16"/>
              </w:rPr>
              <w:t>, diğer gaz türbinleri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2.116.755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2.109.254</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2.223.870</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5,4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8544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İzole edilmiş tel, kablo; diğer izole edilmiş elektrik iletkenleri; fiber optik kablolar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1.769.592</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2.051.540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2.201.199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2402</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Tütün/tütün yerine geçen maddelerden purolar, </w:t>
            </w:r>
            <w:proofErr w:type="spellStart"/>
            <w:r w:rsidRPr="003F0A71">
              <w:rPr>
                <w:rFonts w:ascii="Times New Roman" w:eastAsia="Times New Roman" w:hAnsi="Times New Roman" w:cs="Times New Roman"/>
                <w:i/>
                <w:color w:val="212529"/>
                <w:sz w:val="16"/>
                <w:szCs w:val="16"/>
              </w:rPr>
              <w:t>sigarillolar</w:t>
            </w:r>
            <w:proofErr w:type="spellEnd"/>
            <w:r w:rsidRPr="003F0A71">
              <w:rPr>
                <w:rFonts w:ascii="Times New Roman" w:eastAsia="Times New Roman" w:hAnsi="Times New Roman" w:cs="Times New Roman"/>
                <w:i/>
                <w:color w:val="212529"/>
                <w:sz w:val="16"/>
                <w:szCs w:val="16"/>
              </w:rPr>
              <w:t xml:space="preserve"> ve sigaralar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2.108.260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2.044.991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2.197.228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7,4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8481</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 xml:space="preserve">Muslukçu, borucu eşyası-basınç düşürücü, </w:t>
            </w:r>
            <w:proofErr w:type="spellStart"/>
            <w:r w:rsidRPr="003F0A71">
              <w:rPr>
                <w:rFonts w:ascii="Times New Roman" w:eastAsia="Times New Roman" w:hAnsi="Times New Roman" w:cs="Times New Roman"/>
                <w:i/>
                <w:color w:val="212529"/>
                <w:sz w:val="16"/>
                <w:szCs w:val="16"/>
              </w:rPr>
              <w:t>termostatik</w:t>
            </w:r>
            <w:proofErr w:type="spellEnd"/>
            <w:r w:rsidRPr="003F0A71">
              <w:rPr>
                <w:rFonts w:ascii="Times New Roman" w:eastAsia="Times New Roman" w:hAnsi="Times New Roman" w:cs="Times New Roman"/>
                <w:i/>
                <w:color w:val="212529"/>
                <w:sz w:val="16"/>
                <w:szCs w:val="16"/>
              </w:rPr>
              <w:t xml:space="preserve"> valf </w:t>
            </w:r>
            <w:proofErr w:type="gramStart"/>
            <w:r w:rsidRPr="003F0A71">
              <w:rPr>
                <w:rFonts w:ascii="Times New Roman" w:eastAsia="Times New Roman" w:hAnsi="Times New Roman" w:cs="Times New Roman"/>
                <w:i/>
                <w:color w:val="212529"/>
                <w:sz w:val="16"/>
                <w:szCs w:val="16"/>
              </w:rPr>
              <w:t>dahil</w:t>
            </w:r>
            <w:proofErr w:type="gramEnd"/>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1.929.536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1.985.729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2.189.495</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10,3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60"/>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0203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Domuz eti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1.982.137</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2.188.519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2.113.233</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8414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Hava-vakum pompası, hava/gaz kompresörü, vantilatör, aspiratör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1.817.065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1.935.231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2.096.779</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8,3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7204</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Demir/çelik döküntü ve hurdaları, bunların külçeleri</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1.034.990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1.596.200</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2.093.678</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31,2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88"/>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7207</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Demir/alaşımsız çelikten yarı mamuller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1.202.789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1.692.033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2.068.547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22,3</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353"/>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8803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Balon, hava gemisi, planör vb. diğer hava taşıtlarının aksam ve parçaları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1.777.649</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1.880.335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2.053.497</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9,2</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260"/>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0406</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Peynir ve lor</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1.715.866</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1.963.481</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2.050.646</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4,4</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r w:rsidR="003F0A71" w:rsidRPr="003F0A71" w:rsidTr="003F0A71">
        <w:trPr>
          <w:trHeight w:val="186"/>
        </w:trPr>
        <w:tc>
          <w:tcPr>
            <w:tcW w:w="613"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b/>
                <w:bCs/>
                <w:i/>
                <w:color w:val="212529"/>
                <w:sz w:val="16"/>
                <w:szCs w:val="16"/>
              </w:rPr>
              <w:t>7113</w:t>
            </w:r>
          </w:p>
        </w:tc>
        <w:tc>
          <w:tcPr>
            <w:tcW w:w="19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Kıymetli metaller ve kaplamalarından mücevherci eşyası</w:t>
            </w:r>
          </w:p>
        </w:tc>
        <w:tc>
          <w:tcPr>
            <w:tcW w:w="11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1.576.323</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1.987.335</w:t>
            </w:r>
          </w:p>
        </w:tc>
        <w:tc>
          <w:tcPr>
            <w:tcW w:w="118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2.041.254</w:t>
            </w:r>
          </w:p>
        </w:tc>
        <w:tc>
          <w:tcPr>
            <w:tcW w:w="1003"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2,7</w:t>
            </w:r>
          </w:p>
        </w:tc>
        <w:tc>
          <w:tcPr>
            <w:tcW w:w="660" w:type="dxa"/>
            <w:tcBorders>
              <w:top w:val="nil"/>
              <w:left w:val="nil"/>
              <w:bottom w:val="single" w:sz="8" w:space="0" w:color="000000"/>
              <w:right w:val="single" w:sz="8" w:space="0" w:color="000000"/>
            </w:tcBorders>
            <w:noWrap/>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color w:val="212529"/>
                <w:sz w:val="16"/>
                <w:szCs w:val="16"/>
              </w:rPr>
              <w:t>0,4</w:t>
            </w:r>
          </w:p>
        </w:tc>
      </w:tr>
    </w:tbl>
    <w:p w:rsidR="003F0A71" w:rsidRDefault="003F0A71" w:rsidP="003F0A71">
      <w:pPr>
        <w:spacing w:after="100" w:afterAutospacing="1" w:line="240" w:lineRule="auto"/>
        <w:jc w:val="both"/>
        <w:rPr>
          <w:rFonts w:ascii="Times New Roman" w:eastAsia="Times New Roman" w:hAnsi="Times New Roman" w:cs="Times New Roman"/>
          <w:i/>
          <w:iCs/>
          <w:color w:val="212529"/>
          <w:sz w:val="16"/>
          <w:szCs w:val="16"/>
        </w:rPr>
      </w:pPr>
      <w:r w:rsidRPr="003F0A71">
        <w:rPr>
          <w:rFonts w:ascii="Times New Roman" w:eastAsia="Times New Roman" w:hAnsi="Times New Roman" w:cs="Times New Roman"/>
          <w:i/>
          <w:iCs/>
          <w:color w:val="212529"/>
          <w:sz w:val="16"/>
          <w:szCs w:val="16"/>
        </w:rPr>
        <w:t>Kaynak: ITC-</w:t>
      </w:r>
      <w:proofErr w:type="spellStart"/>
      <w:r w:rsidRPr="003F0A71">
        <w:rPr>
          <w:rFonts w:ascii="Times New Roman" w:eastAsia="Times New Roman" w:hAnsi="Times New Roman" w:cs="Times New Roman"/>
          <w:i/>
          <w:iCs/>
          <w:color w:val="212529"/>
          <w:sz w:val="16"/>
          <w:szCs w:val="16"/>
        </w:rPr>
        <w:t>Trade</w:t>
      </w:r>
      <w:proofErr w:type="spellEnd"/>
      <w:r w:rsidRPr="003F0A71">
        <w:rPr>
          <w:rFonts w:ascii="Times New Roman" w:eastAsia="Times New Roman" w:hAnsi="Times New Roman" w:cs="Times New Roman"/>
          <w:i/>
          <w:iCs/>
          <w:color w:val="212529"/>
          <w:sz w:val="16"/>
          <w:szCs w:val="16"/>
        </w:rPr>
        <w:t xml:space="preserve"> </w:t>
      </w:r>
      <w:proofErr w:type="spellStart"/>
      <w:r w:rsidRPr="003F0A71">
        <w:rPr>
          <w:rFonts w:ascii="Times New Roman" w:eastAsia="Times New Roman" w:hAnsi="Times New Roman" w:cs="Times New Roman"/>
          <w:i/>
          <w:iCs/>
          <w:color w:val="212529"/>
          <w:sz w:val="16"/>
          <w:szCs w:val="16"/>
        </w:rPr>
        <w:t>Map</w:t>
      </w:r>
      <w:proofErr w:type="spellEnd"/>
    </w:p>
    <w:p w:rsidR="003F0A71" w:rsidRPr="003F0A71" w:rsidRDefault="003F0A71" w:rsidP="003F0A71">
      <w:pPr>
        <w:spacing w:after="100" w:afterAutospacing="1" w:line="240" w:lineRule="auto"/>
        <w:jc w:val="both"/>
        <w:rPr>
          <w:rFonts w:ascii="Times New Roman" w:eastAsia="Times New Roman" w:hAnsi="Times New Roman" w:cs="Times New Roman"/>
          <w:i/>
          <w:color w:val="212529"/>
          <w:sz w:val="16"/>
          <w:szCs w:val="16"/>
        </w:rPr>
      </w:pPr>
    </w:p>
    <w:p w:rsidR="003F0A71" w:rsidRPr="009A5170" w:rsidRDefault="003F0A71" w:rsidP="003F0A71">
      <w:pPr>
        <w:spacing w:after="100" w:afterAutospacing="1" w:line="240" w:lineRule="auto"/>
        <w:jc w:val="both"/>
        <w:outlineLvl w:val="3"/>
        <w:rPr>
          <w:rFonts w:ascii="Times New Roman" w:eastAsia="Times New Roman" w:hAnsi="Times New Roman" w:cs="Times New Roman"/>
          <w:b/>
          <w:i/>
          <w:color w:val="212529"/>
          <w:sz w:val="24"/>
          <w:szCs w:val="24"/>
          <w:u w:val="single"/>
        </w:rPr>
      </w:pPr>
      <w:r w:rsidRPr="009A5170">
        <w:rPr>
          <w:rFonts w:ascii="Times New Roman" w:eastAsia="Times New Roman" w:hAnsi="Times New Roman" w:cs="Times New Roman"/>
          <w:b/>
          <w:i/>
          <w:color w:val="212529"/>
          <w:sz w:val="24"/>
          <w:szCs w:val="24"/>
          <w:u w:val="single"/>
        </w:rPr>
        <w:t>Ülkenin Dış Ticaretinde Başlıca Ülkeler</w:t>
      </w:r>
    </w:p>
    <w:p w:rsidR="003F0A71" w:rsidRPr="003F0A71" w:rsidRDefault="003F0A71" w:rsidP="003F0A71">
      <w:pPr>
        <w:spacing w:after="100" w:afterAutospacing="1"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 İtalya’nın İhracatında Başlıca Ülkeler (1 000 $)</w:t>
      </w:r>
    </w:p>
    <w:tbl>
      <w:tblPr>
        <w:tblW w:w="0" w:type="auto"/>
        <w:tblCellMar>
          <w:left w:w="0" w:type="dxa"/>
          <w:right w:w="0" w:type="dxa"/>
        </w:tblCellMar>
        <w:tblLook w:val="04A0"/>
      </w:tblPr>
      <w:tblGrid>
        <w:gridCol w:w="1156"/>
        <w:gridCol w:w="1116"/>
        <w:gridCol w:w="1116"/>
        <w:gridCol w:w="1116"/>
        <w:gridCol w:w="996"/>
        <w:gridCol w:w="621"/>
      </w:tblGrid>
      <w:tr w:rsidR="003F0A71" w:rsidRPr="003F0A71" w:rsidTr="003F0A71">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 </w:t>
            </w:r>
            <w:r w:rsidRPr="003F0A71">
              <w:rPr>
                <w:rFonts w:ascii="Times New Roman" w:eastAsia="Times New Roman" w:hAnsi="Times New Roman" w:cs="Times New Roman"/>
                <w:b/>
                <w:bCs/>
                <w:i/>
                <w:color w:val="212529"/>
                <w:sz w:val="18"/>
                <w:szCs w:val="18"/>
              </w:rPr>
              <w:t>ÜLKELER</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2016</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2017</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2018</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2017-2018</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Değişim</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2018</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Pay</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Dünya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461.529.407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503.053.928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546.642.573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100,0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Almanya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58.331.878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62.814.070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68.675.999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Fransa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48.606.493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51.815.553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57.226.283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ABD</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40.871.577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45.607.985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50.079.541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9,2</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İspanya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23.203.485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26.093.775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28.370.750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5,2</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Birleşik </w:t>
            </w:r>
            <w:r w:rsidRPr="003F0A71">
              <w:rPr>
                <w:rFonts w:ascii="Times New Roman" w:eastAsia="Times New Roman" w:hAnsi="Times New Roman" w:cs="Times New Roman"/>
                <w:i/>
                <w:color w:val="212529"/>
                <w:sz w:val="18"/>
                <w:szCs w:val="18"/>
              </w:rPr>
              <w:br/>
              <w:t>Krallık</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24.874.825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25.869.666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27.679.745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5,1</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İsviçre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21.077.029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23.296.430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26.446.889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4,8</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Polonya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12.427.032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14.143.919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15.850.955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2,9</w:t>
            </w:r>
          </w:p>
        </w:tc>
      </w:tr>
      <w:tr w:rsidR="003F0A71" w:rsidRPr="003F0A71" w:rsidTr="003F0A71">
        <w:trPr>
          <w:trHeight w:val="195"/>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Belçika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14.943.756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15.111.259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15.574.029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Çin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12.258.630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15.207.937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15.539.885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Hollanda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10.762.763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11.748.203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13.735.620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Avusturya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9.769.826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10.637.704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12.009.603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2,2</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Türkiye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10.622.125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11.266.767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10.404.666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lastRenderedPageBreak/>
              <w:t>Rusya </w:t>
            </w:r>
            <w:r w:rsidRPr="003F0A71">
              <w:rPr>
                <w:rFonts w:ascii="Times New Roman" w:eastAsia="Times New Roman" w:hAnsi="Times New Roman" w:cs="Times New Roman"/>
                <w:i/>
                <w:color w:val="212529"/>
                <w:sz w:val="18"/>
                <w:szCs w:val="18"/>
              </w:rPr>
              <w:br/>
              <w:t>Federasyonu</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7.437.038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8.986.444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8.959.459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Romanya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7.313.461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8.157.808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8.855.643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Japonya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6.676.633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7.388.552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7.645.131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Çek Cum.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5.953.722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6.618.371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7.529.634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Hong Kong</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6.397.436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6.778.930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7.052.538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Macaristan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4.859.934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5.293.466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5.793.950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İsveç</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4.658.891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5.107.540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5.779.002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Slovenya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4.029.873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4.691.026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5.536.884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18,0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B.A.E.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5.986.723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6.002.974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5.410.577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G. Kore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4.422.933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4.844.176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5.394.053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Yunanistan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4.250.349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4.541.772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5.194.741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Meksika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4.099.268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4.758.709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5.071.214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Portekiz</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3.886.767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4.485.547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4.919.616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Kanada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4.099.484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4.434.072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4.853.773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Avustralya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3.956.176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4.313.317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4.723.134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Hindistan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3.627.524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3.969.198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4.675.469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Brezilya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3.549.201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4.257.214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4.585.048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0,8</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Tunus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3.236.196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3.601.724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4.097.703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Hırvatistan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2.820.720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3.386.150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3.686.760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Suudi </w:t>
            </w:r>
            <w:r w:rsidRPr="003F0A71">
              <w:rPr>
                <w:rFonts w:ascii="Times New Roman" w:eastAsia="Times New Roman" w:hAnsi="Times New Roman" w:cs="Times New Roman"/>
                <w:i/>
                <w:color w:val="212529"/>
                <w:sz w:val="18"/>
                <w:szCs w:val="18"/>
              </w:rPr>
              <w:br/>
              <w:t>Arabistan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4.638.196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4.393.177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3.657.608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Cezayir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4.105.589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3.441.506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3.635.774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Slovakya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3.012.318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3.204.790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3.617.403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Danimarka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3.055.465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3.284.424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3.466.725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Mısır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3.416.507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3.283.499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3.163.024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İsrail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2.777.105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2.931.298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2.969.920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Bulgaristan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2.258.480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2.393.654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2.759.282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Singapur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2.037.227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2.363.226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2.505.018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Fas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1.785.006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2.110.690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2.394.466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0,4</w:t>
            </w:r>
          </w:p>
        </w:tc>
      </w:tr>
    </w:tbl>
    <w:p w:rsidR="003F0A71" w:rsidRPr="003F0A71" w:rsidRDefault="003F0A71" w:rsidP="003F0A71">
      <w:pPr>
        <w:spacing w:after="100" w:afterAutospacing="1" w:line="240" w:lineRule="auto"/>
        <w:jc w:val="both"/>
        <w:rPr>
          <w:rFonts w:ascii="Times New Roman" w:eastAsia="Times New Roman" w:hAnsi="Times New Roman" w:cs="Times New Roman"/>
          <w:i/>
          <w:color w:val="212529"/>
          <w:sz w:val="16"/>
          <w:szCs w:val="16"/>
        </w:rPr>
      </w:pPr>
      <w:r w:rsidRPr="003F0A71">
        <w:rPr>
          <w:rFonts w:ascii="Times New Roman" w:eastAsia="Times New Roman" w:hAnsi="Times New Roman" w:cs="Times New Roman"/>
          <w:i/>
          <w:iCs/>
          <w:color w:val="212529"/>
          <w:sz w:val="16"/>
          <w:szCs w:val="16"/>
        </w:rPr>
        <w:t>Kaynak: ITC-</w:t>
      </w:r>
      <w:proofErr w:type="spellStart"/>
      <w:r w:rsidRPr="003F0A71">
        <w:rPr>
          <w:rFonts w:ascii="Times New Roman" w:eastAsia="Times New Roman" w:hAnsi="Times New Roman" w:cs="Times New Roman"/>
          <w:i/>
          <w:iCs/>
          <w:color w:val="212529"/>
          <w:sz w:val="16"/>
          <w:szCs w:val="16"/>
        </w:rPr>
        <w:t>Trade</w:t>
      </w:r>
      <w:proofErr w:type="spellEnd"/>
      <w:r w:rsidRPr="003F0A71">
        <w:rPr>
          <w:rFonts w:ascii="Times New Roman" w:eastAsia="Times New Roman" w:hAnsi="Times New Roman" w:cs="Times New Roman"/>
          <w:i/>
          <w:iCs/>
          <w:color w:val="212529"/>
          <w:sz w:val="16"/>
          <w:szCs w:val="16"/>
        </w:rPr>
        <w:t xml:space="preserve"> </w:t>
      </w:r>
      <w:proofErr w:type="spellStart"/>
      <w:r w:rsidRPr="003F0A71">
        <w:rPr>
          <w:rFonts w:ascii="Times New Roman" w:eastAsia="Times New Roman" w:hAnsi="Times New Roman" w:cs="Times New Roman"/>
          <w:i/>
          <w:iCs/>
          <w:color w:val="212529"/>
          <w:sz w:val="16"/>
          <w:szCs w:val="16"/>
        </w:rPr>
        <w:t>Map</w:t>
      </w:r>
      <w:proofErr w:type="spellEnd"/>
    </w:p>
    <w:p w:rsidR="003F0A71" w:rsidRPr="009A5170" w:rsidRDefault="003F0A71" w:rsidP="003F0A71">
      <w:pPr>
        <w:spacing w:after="100" w:afterAutospacing="1" w:line="240" w:lineRule="auto"/>
        <w:jc w:val="both"/>
        <w:rPr>
          <w:rFonts w:ascii="Times New Roman" w:eastAsia="Times New Roman" w:hAnsi="Times New Roman" w:cs="Times New Roman"/>
          <w:i/>
          <w:color w:val="212529"/>
          <w:sz w:val="18"/>
          <w:szCs w:val="18"/>
          <w:u w:val="single"/>
        </w:rPr>
      </w:pPr>
      <w:r w:rsidRPr="009A5170">
        <w:rPr>
          <w:rFonts w:ascii="Times New Roman" w:eastAsia="Times New Roman" w:hAnsi="Times New Roman" w:cs="Times New Roman"/>
          <w:b/>
          <w:bCs/>
          <w:i/>
          <w:color w:val="212529"/>
          <w:sz w:val="18"/>
          <w:szCs w:val="18"/>
          <w:u w:val="single"/>
        </w:rPr>
        <w:t>İtalya’nın İthalatında Başlıca Ülkeler (1 000 $)</w:t>
      </w:r>
    </w:p>
    <w:tbl>
      <w:tblPr>
        <w:tblW w:w="0" w:type="auto"/>
        <w:tblCellMar>
          <w:left w:w="0" w:type="dxa"/>
          <w:right w:w="0" w:type="dxa"/>
        </w:tblCellMar>
        <w:tblLook w:val="04A0"/>
      </w:tblPr>
      <w:tblGrid>
        <w:gridCol w:w="1156"/>
        <w:gridCol w:w="1116"/>
        <w:gridCol w:w="1116"/>
        <w:gridCol w:w="1116"/>
        <w:gridCol w:w="996"/>
        <w:gridCol w:w="621"/>
      </w:tblGrid>
      <w:tr w:rsidR="003F0A71" w:rsidRPr="003F0A71" w:rsidTr="003F0A71">
        <w:trPr>
          <w:trHeight w:val="260"/>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 ÜLKELER</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2016</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2017</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2018</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2017-2018</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Değişim</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2018</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Pay</w:t>
            </w:r>
            <w:r w:rsidRPr="003F0A71">
              <w:rPr>
                <w:rFonts w:ascii="Times New Roman" w:eastAsia="Times New Roman" w:hAnsi="Times New Roman" w:cs="Times New Roman"/>
                <w:i/>
                <w:color w:val="212529"/>
                <w:sz w:val="18"/>
                <w:szCs w:val="18"/>
              </w:rPr>
              <w:br/>
            </w:r>
            <w:r w:rsidRPr="003F0A71">
              <w:rPr>
                <w:rFonts w:ascii="Times New Roman" w:eastAsia="Times New Roman" w:hAnsi="Times New Roman" w:cs="Times New Roman"/>
                <w:b/>
                <w:bCs/>
                <w:i/>
                <w:color w:val="212529"/>
                <w:sz w:val="18"/>
                <w:szCs w:val="18"/>
              </w:rPr>
              <w:t>%</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Dünya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404.577.979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451.415.535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500.794.509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10,9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100,0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Almanya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65.794.412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73.734.529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83.069.351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Fransa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36.020.327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39.636.929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43.184.563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Çin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30.194.171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32.020.375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36.326.954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Hollanda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22.305.297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25.398.869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27.044.050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5,4</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İspanya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21.619.322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23.892.681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24.361.245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Belçika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19.698.412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20.148.515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22.707.529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ABD</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15.398.202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16.918.613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18.852.943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3,8</w:t>
            </w:r>
          </w:p>
        </w:tc>
      </w:tr>
      <w:tr w:rsidR="003F0A71" w:rsidRPr="003F0A71" w:rsidTr="003F0A71">
        <w:trPr>
          <w:trHeight w:val="195"/>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Rusya </w:t>
            </w:r>
            <w:r w:rsidRPr="003F0A71">
              <w:rPr>
                <w:rFonts w:ascii="Times New Roman" w:eastAsia="Times New Roman" w:hAnsi="Times New Roman" w:cs="Times New Roman"/>
                <w:i/>
                <w:color w:val="212529"/>
                <w:sz w:val="18"/>
                <w:szCs w:val="18"/>
              </w:rPr>
              <w:br/>
              <w:t>Federasyonu</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11.750.624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13.853.253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16.336.660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Birleşik </w:t>
            </w:r>
            <w:r w:rsidRPr="003F0A71">
              <w:rPr>
                <w:rFonts w:ascii="Times New Roman" w:eastAsia="Times New Roman" w:hAnsi="Times New Roman" w:cs="Times New Roman"/>
                <w:i/>
                <w:color w:val="212529"/>
                <w:sz w:val="18"/>
                <w:szCs w:val="18"/>
              </w:rPr>
              <w:br/>
              <w:t>Krallık</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12.168.656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12.870.663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13.164.439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İsviçre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11.731.621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12.623.271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12.945.953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Avusturya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9.189.054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10.415.416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11.540.520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Polonya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9.661.775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11.123.702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11.505.160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Türkiye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8.271.237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9.335.295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10.697.040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14,6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b/>
                <w:bCs/>
                <w:i/>
                <w:color w:val="212529"/>
                <w:sz w:val="18"/>
                <w:szCs w:val="18"/>
              </w:rPr>
              <w:t>2,1</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Romanya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6.913.135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7.401.855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8.501.665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Çek Cum.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7.047.292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7.445.558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7.990.304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Cezayir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4.725.143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5.598.667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6.740.372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Hindistan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4.691.289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5.789.736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6.558.652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Azerbaycan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3.233.072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5.230.029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6.532.243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1,3</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Macaristan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5.067.798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5.939.248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6.086.146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Suudi </w:t>
            </w:r>
            <w:r w:rsidRPr="003F0A71">
              <w:rPr>
                <w:rFonts w:ascii="Times New Roman" w:eastAsia="Times New Roman" w:hAnsi="Times New Roman" w:cs="Times New Roman"/>
                <w:i/>
                <w:color w:val="212529"/>
                <w:sz w:val="18"/>
                <w:szCs w:val="18"/>
              </w:rPr>
              <w:br/>
              <w:t>Arabistan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2.834.536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3.849.268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6.036.882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56,8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1,2</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İsveç</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3.998.496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4.253.122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4.973.401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lastRenderedPageBreak/>
              <w:t>Libya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2.010.191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3.145.599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4.953.689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57,5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Slovakya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3.669.971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5.111.498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4.891.113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G. Kore</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3.284.254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3.825.777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4.794.739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1,0</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İrlanda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3.696.346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4.208.901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4.574.789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Irak</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3.257.815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3.185.567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4.502.571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Japonya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4.447.104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4.723.864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4.453.023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-5,7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0,9</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Brezilya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3.577.908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3.742.762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3.982.710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6,4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0,8</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Slovenya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2.868.539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3.340.562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3.849.004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15,2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0,8</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İran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1.162.059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3.803.090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3.480.217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-8,5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Yunanistan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2.813.635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3.019.101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3.370.631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0,7</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Ukrayna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2.196.155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2.796.664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3.111.579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11,3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Danimarka</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2.422.874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2.815.078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3.031.858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7,7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Vietnam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3.288.744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2.863.698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2.992.753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Tunus</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2.482.433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2.500.694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2.936.826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17,4</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Bulgaristan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2.717.760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2.811.145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2.834.603</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0,6</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Mısır</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1.700.857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2.060.101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2.484.956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Tayvan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2.009.489</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2.177.732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2.483.747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14,1</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Portekiz</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1.756.508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1.986.095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2.354.990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18,6</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0,5</w:t>
            </w:r>
          </w:p>
        </w:tc>
      </w:tr>
      <w:tr w:rsidR="003F0A71" w:rsidRPr="003F0A71" w:rsidTr="003F0A71">
        <w:trPr>
          <w:trHeight w:val="18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Hırvatistan</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1.647.008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1.822.172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2.159.017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18,5</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3F0A71" w:rsidRPr="003F0A71" w:rsidRDefault="003F0A71" w:rsidP="003F0A71">
            <w:pPr>
              <w:spacing w:after="0"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color w:val="212529"/>
                <w:sz w:val="18"/>
                <w:szCs w:val="18"/>
              </w:rPr>
              <w:t>0,4</w:t>
            </w:r>
          </w:p>
        </w:tc>
      </w:tr>
    </w:tbl>
    <w:p w:rsidR="003F0A71" w:rsidRPr="003F0A71" w:rsidRDefault="003F0A71" w:rsidP="003F0A71">
      <w:pPr>
        <w:spacing w:after="100" w:afterAutospacing="1" w:line="240" w:lineRule="auto"/>
        <w:jc w:val="both"/>
        <w:rPr>
          <w:rFonts w:ascii="Times New Roman" w:eastAsia="Times New Roman" w:hAnsi="Times New Roman" w:cs="Times New Roman"/>
          <w:i/>
          <w:color w:val="212529"/>
          <w:sz w:val="18"/>
          <w:szCs w:val="18"/>
        </w:rPr>
      </w:pPr>
      <w:r w:rsidRPr="003F0A71">
        <w:rPr>
          <w:rFonts w:ascii="Times New Roman" w:eastAsia="Times New Roman" w:hAnsi="Times New Roman" w:cs="Times New Roman"/>
          <w:i/>
          <w:iCs/>
          <w:color w:val="212529"/>
          <w:sz w:val="18"/>
          <w:szCs w:val="18"/>
        </w:rPr>
        <w:t>Kaynak: ITC-</w:t>
      </w:r>
      <w:proofErr w:type="spellStart"/>
      <w:r w:rsidRPr="003F0A71">
        <w:rPr>
          <w:rFonts w:ascii="Times New Roman" w:eastAsia="Times New Roman" w:hAnsi="Times New Roman" w:cs="Times New Roman"/>
          <w:i/>
          <w:iCs/>
          <w:color w:val="212529"/>
          <w:sz w:val="18"/>
          <w:szCs w:val="18"/>
        </w:rPr>
        <w:t>Trade</w:t>
      </w:r>
      <w:proofErr w:type="spellEnd"/>
      <w:r w:rsidRPr="003F0A71">
        <w:rPr>
          <w:rFonts w:ascii="Times New Roman" w:eastAsia="Times New Roman" w:hAnsi="Times New Roman" w:cs="Times New Roman"/>
          <w:i/>
          <w:iCs/>
          <w:color w:val="212529"/>
          <w:sz w:val="18"/>
          <w:szCs w:val="18"/>
        </w:rPr>
        <w:t xml:space="preserve"> </w:t>
      </w:r>
      <w:proofErr w:type="spellStart"/>
      <w:r w:rsidRPr="003F0A71">
        <w:rPr>
          <w:rFonts w:ascii="Times New Roman" w:eastAsia="Times New Roman" w:hAnsi="Times New Roman" w:cs="Times New Roman"/>
          <w:i/>
          <w:iCs/>
          <w:color w:val="212529"/>
          <w:sz w:val="18"/>
          <w:szCs w:val="18"/>
        </w:rPr>
        <w:t>Map</w:t>
      </w:r>
      <w:proofErr w:type="spellEnd"/>
    </w:p>
    <w:p w:rsidR="003F0A71" w:rsidRDefault="003F0A71" w:rsidP="003F0A71">
      <w:pPr>
        <w:pStyle w:val="Balk2"/>
        <w:shd w:val="clear" w:color="auto" w:fill="F1F1F1"/>
        <w:spacing w:before="0" w:after="139"/>
        <w:rPr>
          <w:rFonts w:ascii="Arial" w:hAnsi="Arial" w:cs="Arial"/>
          <w:color w:val="09376B"/>
          <w:sz w:val="24"/>
          <w:szCs w:val="24"/>
        </w:rPr>
      </w:pPr>
      <w:r>
        <w:rPr>
          <w:rFonts w:ascii="Arial" w:hAnsi="Arial" w:cs="Arial"/>
          <w:color w:val="09376B"/>
          <w:sz w:val="24"/>
          <w:szCs w:val="24"/>
        </w:rPr>
        <w:t>Dış Ticaret Politikası ve Vergiler</w:t>
      </w:r>
    </w:p>
    <w:p w:rsidR="002A2BEA" w:rsidRPr="009A5170" w:rsidRDefault="002A2BEA" w:rsidP="002A2BEA">
      <w:pPr>
        <w:pStyle w:val="Balk4"/>
        <w:spacing w:before="0" w:beforeAutospacing="0"/>
        <w:jc w:val="both"/>
        <w:rPr>
          <w:bCs w:val="0"/>
          <w:i/>
          <w:color w:val="212529"/>
          <w:sz w:val="22"/>
          <w:szCs w:val="22"/>
          <w:u w:val="single"/>
        </w:rPr>
      </w:pPr>
      <w:r w:rsidRPr="009A5170">
        <w:rPr>
          <w:bCs w:val="0"/>
          <w:i/>
          <w:color w:val="212529"/>
          <w:sz w:val="22"/>
          <w:szCs w:val="22"/>
          <w:u w:val="single"/>
        </w:rPr>
        <w:t>Tarifeler ve Diğer Vergiler</w:t>
      </w:r>
    </w:p>
    <w:p w:rsidR="002A2BEA" w:rsidRPr="009A5170" w:rsidRDefault="002A2BEA" w:rsidP="002A2BEA">
      <w:pPr>
        <w:pStyle w:val="NormalWeb"/>
        <w:spacing w:before="0" w:beforeAutospacing="0"/>
        <w:jc w:val="both"/>
        <w:rPr>
          <w:i/>
          <w:color w:val="212529"/>
          <w:sz w:val="16"/>
          <w:szCs w:val="16"/>
        </w:rPr>
      </w:pPr>
      <w:r w:rsidRPr="009A5170">
        <w:rPr>
          <w:rStyle w:val="Gl"/>
          <w:i/>
          <w:color w:val="212529"/>
          <w:sz w:val="16"/>
          <w:szCs w:val="16"/>
          <w:u w:val="single"/>
        </w:rPr>
        <w:t>Gümrük Vergileri</w:t>
      </w:r>
      <w:r w:rsidRPr="009A5170">
        <w:rPr>
          <w:i/>
          <w:color w:val="212529"/>
          <w:sz w:val="16"/>
          <w:szCs w:val="16"/>
        </w:rPr>
        <w:t xml:space="preserve">: 1/95 sayılı Ortaklık Konseyi Kararı gereğince 1 Ocak 1996 tarihinden itibaren Türkiye ile Avrupa Birliği üyesi ülkeler arasında sanayi ürünleri ticaretinde Gümrük Birliği </w:t>
      </w:r>
      <w:proofErr w:type="spellStart"/>
      <w:r w:rsidRPr="009A5170">
        <w:rPr>
          <w:i/>
          <w:color w:val="212529"/>
          <w:sz w:val="16"/>
          <w:szCs w:val="16"/>
        </w:rPr>
        <w:t>uygulması</w:t>
      </w:r>
      <w:proofErr w:type="spellEnd"/>
      <w:r w:rsidRPr="009A5170">
        <w:rPr>
          <w:i/>
          <w:color w:val="212529"/>
          <w:sz w:val="16"/>
          <w:szCs w:val="16"/>
        </w:rPr>
        <w:t xml:space="preserve"> yürürlüktedir. Bu suretle gümrük vergileri sıfırlanmış ve Türkiye üçüncü ülkelere karşı Ortak Gümrük Tarifesi uygulamaya başlamıştır.</w:t>
      </w:r>
    </w:p>
    <w:p w:rsidR="002A2BEA" w:rsidRPr="009A5170" w:rsidRDefault="002A2BEA" w:rsidP="002A2BEA">
      <w:pPr>
        <w:pStyle w:val="NormalWeb"/>
        <w:spacing w:before="0" w:beforeAutospacing="0"/>
        <w:jc w:val="both"/>
        <w:rPr>
          <w:i/>
          <w:color w:val="212529"/>
          <w:sz w:val="16"/>
          <w:szCs w:val="16"/>
        </w:rPr>
      </w:pPr>
      <w:r w:rsidRPr="009A5170">
        <w:rPr>
          <w:i/>
          <w:color w:val="212529"/>
          <w:sz w:val="16"/>
          <w:szCs w:val="16"/>
        </w:rPr>
        <w:t xml:space="preserve">Ayrıca, bazı istisnalar dışında (topluluğun Ortak Tarım Politikasına </w:t>
      </w:r>
      <w:proofErr w:type="gramStart"/>
      <w:r w:rsidRPr="009A5170">
        <w:rPr>
          <w:i/>
          <w:color w:val="212529"/>
          <w:sz w:val="16"/>
          <w:szCs w:val="16"/>
        </w:rPr>
        <w:t>dahil</w:t>
      </w:r>
      <w:proofErr w:type="gramEnd"/>
      <w:r w:rsidRPr="009A5170">
        <w:rPr>
          <w:i/>
          <w:color w:val="212529"/>
          <w:sz w:val="16"/>
          <w:szCs w:val="16"/>
        </w:rPr>
        <w:t xml:space="preserve"> olmayan tarımsal ürünler, yaş meyve sebze ürünlerine ait toplam 11 adet tarife pozisyonu, iç ve kabuklu natürel fındık, domates salçaları ve diğer domates konservesi) AB ülkelerine Türkiye’den ithal edilen tarım ürünlerinde de gümrük vergileri tamamen kaldırılmış bulunmaktadır.</w:t>
      </w:r>
    </w:p>
    <w:p w:rsidR="002A2BEA" w:rsidRPr="009A5170" w:rsidRDefault="002A2BEA" w:rsidP="002A2BEA">
      <w:pPr>
        <w:pStyle w:val="NormalWeb"/>
        <w:spacing w:before="0" w:beforeAutospacing="0"/>
        <w:jc w:val="both"/>
        <w:rPr>
          <w:i/>
          <w:color w:val="212529"/>
          <w:sz w:val="16"/>
          <w:szCs w:val="16"/>
        </w:rPr>
      </w:pPr>
      <w:r w:rsidRPr="009A5170">
        <w:rPr>
          <w:i/>
          <w:color w:val="212529"/>
          <w:sz w:val="16"/>
          <w:szCs w:val="16"/>
        </w:rPr>
        <w:t xml:space="preserve">Sonuç olarak, İtalya’ya diğer AB ülkelerinden (Norveç, İzlanda, İsviçre, </w:t>
      </w:r>
      <w:proofErr w:type="spellStart"/>
      <w:r w:rsidRPr="009A5170">
        <w:rPr>
          <w:i/>
          <w:color w:val="212529"/>
          <w:sz w:val="16"/>
          <w:szCs w:val="16"/>
        </w:rPr>
        <w:t>Liechtenstein</w:t>
      </w:r>
      <w:proofErr w:type="spellEnd"/>
      <w:r w:rsidRPr="009A5170">
        <w:rPr>
          <w:i/>
          <w:color w:val="212529"/>
          <w:sz w:val="16"/>
          <w:szCs w:val="16"/>
        </w:rPr>
        <w:t xml:space="preserve">, </w:t>
      </w:r>
      <w:proofErr w:type="spellStart"/>
      <w:r w:rsidRPr="009A5170">
        <w:rPr>
          <w:i/>
          <w:color w:val="212529"/>
          <w:sz w:val="16"/>
          <w:szCs w:val="16"/>
        </w:rPr>
        <w:t>Andorra</w:t>
      </w:r>
      <w:proofErr w:type="spellEnd"/>
      <w:r w:rsidRPr="009A5170">
        <w:rPr>
          <w:i/>
          <w:color w:val="212529"/>
          <w:sz w:val="16"/>
          <w:szCs w:val="16"/>
        </w:rPr>
        <w:t xml:space="preserve"> ve San Marino </w:t>
      </w:r>
      <w:proofErr w:type="gramStart"/>
      <w:r w:rsidRPr="009A5170">
        <w:rPr>
          <w:i/>
          <w:color w:val="212529"/>
          <w:sz w:val="16"/>
          <w:szCs w:val="16"/>
        </w:rPr>
        <w:t>dahil</w:t>
      </w:r>
      <w:proofErr w:type="gramEnd"/>
      <w:r w:rsidRPr="009A5170">
        <w:rPr>
          <w:i/>
          <w:color w:val="212529"/>
          <w:sz w:val="16"/>
          <w:szCs w:val="16"/>
        </w:rPr>
        <w:t>) ve Türkiye’den yapılan ithalat gümrük vergisinden muaftır. Diğer ülkelerden yapılan ithalatta Avrupa Toplulukları Birleştirilmiş Gümrük Tarifesi’ne (TARIC) göre ortak gümrük tarifesi uygulanmakta, ithalatta alınan vergiler KDV oranları dışında aynı olmaktadır. AB’de yürürlükte bulunan gümrük vergilerine http://ec.europa.eu/taxation_customs/dds/tarhome_en.htm adresinden ulaşmak mümkündür.</w:t>
      </w:r>
    </w:p>
    <w:p w:rsidR="002A2BEA" w:rsidRPr="009A5170" w:rsidRDefault="002A2BEA" w:rsidP="002A2BEA">
      <w:pPr>
        <w:pStyle w:val="NormalWeb"/>
        <w:spacing w:before="0" w:beforeAutospacing="0"/>
        <w:jc w:val="both"/>
        <w:rPr>
          <w:i/>
          <w:color w:val="212529"/>
          <w:sz w:val="16"/>
          <w:szCs w:val="16"/>
        </w:rPr>
      </w:pPr>
      <w:r w:rsidRPr="009A5170">
        <w:rPr>
          <w:rStyle w:val="Gl"/>
          <w:i/>
          <w:color w:val="212529"/>
          <w:sz w:val="16"/>
          <w:szCs w:val="16"/>
          <w:u w:val="single"/>
        </w:rPr>
        <w:t>Katma Değer Vergisi</w:t>
      </w:r>
      <w:r w:rsidRPr="009A5170">
        <w:rPr>
          <w:rStyle w:val="Gl"/>
          <w:i/>
          <w:color w:val="212529"/>
          <w:sz w:val="16"/>
          <w:szCs w:val="16"/>
        </w:rPr>
        <w:t>: </w:t>
      </w:r>
      <w:r w:rsidRPr="009A5170">
        <w:rPr>
          <w:i/>
          <w:color w:val="212529"/>
          <w:sz w:val="16"/>
          <w:szCs w:val="16"/>
        </w:rPr>
        <w:t>İtalya'da pek çok üründe geçerli olan Katma Değer Vergisi standart oranı % 21’dir. Ancak gıda ürünleri, su, gazete ve kitap, yolcu taşımacılığı, sosyal hizmetler ve konut, çevre temizliği için toplanan atık maddeler için %4 ve %10 olmak üzere indirilmiş oranlar uygulanmaktadır.</w:t>
      </w:r>
    </w:p>
    <w:p w:rsidR="002A2BEA" w:rsidRPr="009A5170" w:rsidRDefault="002A2BEA" w:rsidP="002A2BEA">
      <w:pPr>
        <w:pStyle w:val="NormalWeb"/>
        <w:spacing w:before="0" w:beforeAutospacing="0"/>
        <w:jc w:val="both"/>
        <w:rPr>
          <w:i/>
          <w:color w:val="212529"/>
          <w:sz w:val="16"/>
          <w:szCs w:val="16"/>
        </w:rPr>
      </w:pPr>
      <w:r w:rsidRPr="009A5170">
        <w:rPr>
          <w:rStyle w:val="Gl"/>
          <w:i/>
          <w:color w:val="212529"/>
          <w:sz w:val="16"/>
          <w:szCs w:val="16"/>
          <w:u w:val="single"/>
        </w:rPr>
        <w:t>Kurumlar Vergisi</w:t>
      </w:r>
      <w:r w:rsidRPr="009A5170">
        <w:rPr>
          <w:rStyle w:val="Gl"/>
          <w:i/>
          <w:color w:val="212529"/>
          <w:sz w:val="16"/>
          <w:szCs w:val="16"/>
        </w:rPr>
        <w:t>: </w:t>
      </w:r>
      <w:r w:rsidRPr="009A5170">
        <w:rPr>
          <w:i/>
          <w:color w:val="212529"/>
          <w:sz w:val="16"/>
          <w:szCs w:val="16"/>
        </w:rPr>
        <w:t>İtalyan merkezli firmalar gerek İtalya’da gerekse İtalya dışında elde ettikleri gelirler açısından kurumlar vergisine tabiyken merkezi İtalya dışında bulunan firmalar sadece İtalya’da elde ettikleri gelirler üzerinden vergilendirilir. Kurumlar vergisi oranı % 27,50’dir.</w:t>
      </w:r>
    </w:p>
    <w:p w:rsidR="002A2BEA" w:rsidRDefault="002A2BEA" w:rsidP="002A2BEA">
      <w:pPr>
        <w:pStyle w:val="NormalWeb"/>
        <w:spacing w:before="0" w:beforeAutospacing="0"/>
        <w:jc w:val="both"/>
        <w:rPr>
          <w:i/>
          <w:color w:val="212529"/>
          <w:sz w:val="16"/>
          <w:szCs w:val="16"/>
        </w:rPr>
      </w:pPr>
      <w:r w:rsidRPr="009A5170">
        <w:rPr>
          <w:rStyle w:val="Gl"/>
          <w:i/>
          <w:color w:val="212529"/>
          <w:sz w:val="16"/>
          <w:szCs w:val="16"/>
          <w:u w:val="single"/>
        </w:rPr>
        <w:t>Bireysel Gelir Vergisi</w:t>
      </w:r>
      <w:r w:rsidRPr="009A5170">
        <w:rPr>
          <w:rStyle w:val="Gl"/>
          <w:i/>
          <w:color w:val="212529"/>
          <w:sz w:val="16"/>
          <w:szCs w:val="16"/>
        </w:rPr>
        <w:t>: </w:t>
      </w:r>
      <w:r w:rsidRPr="009A5170">
        <w:rPr>
          <w:i/>
          <w:color w:val="212529"/>
          <w:sz w:val="16"/>
          <w:szCs w:val="16"/>
        </w:rPr>
        <w:t>İtalya’da artan oranlı kişisel gelir vergisi oranı uygulanmaktadır. Kişisel gelir vergisi oranı % 23 ile % 43 arasında değişmektedir.</w:t>
      </w:r>
    </w:p>
    <w:p w:rsidR="009A5170" w:rsidRDefault="009A5170" w:rsidP="002A2BEA">
      <w:pPr>
        <w:pStyle w:val="NormalWeb"/>
        <w:spacing w:before="0" w:beforeAutospacing="0"/>
        <w:jc w:val="both"/>
        <w:rPr>
          <w:i/>
          <w:color w:val="212529"/>
          <w:sz w:val="16"/>
          <w:szCs w:val="16"/>
        </w:rPr>
      </w:pPr>
    </w:p>
    <w:p w:rsidR="009A5170" w:rsidRDefault="009A5170" w:rsidP="002A2BEA">
      <w:pPr>
        <w:pStyle w:val="NormalWeb"/>
        <w:spacing w:before="0" w:beforeAutospacing="0"/>
        <w:jc w:val="both"/>
        <w:rPr>
          <w:i/>
          <w:color w:val="212529"/>
          <w:sz w:val="16"/>
          <w:szCs w:val="16"/>
        </w:rPr>
      </w:pPr>
    </w:p>
    <w:p w:rsidR="009A5170" w:rsidRDefault="009A5170" w:rsidP="002A2BEA">
      <w:pPr>
        <w:pStyle w:val="NormalWeb"/>
        <w:spacing w:before="0" w:beforeAutospacing="0"/>
        <w:jc w:val="both"/>
        <w:rPr>
          <w:i/>
          <w:color w:val="212529"/>
          <w:sz w:val="20"/>
          <w:szCs w:val="20"/>
        </w:rPr>
      </w:pPr>
    </w:p>
    <w:p w:rsidR="002A2BEA" w:rsidRPr="009A5170" w:rsidRDefault="002A2BEA" w:rsidP="002A2BEA">
      <w:pPr>
        <w:pStyle w:val="Balk4"/>
        <w:spacing w:before="0" w:beforeAutospacing="0"/>
        <w:jc w:val="both"/>
        <w:rPr>
          <w:bCs w:val="0"/>
          <w:i/>
          <w:color w:val="212529"/>
          <w:u w:val="single"/>
        </w:rPr>
      </w:pPr>
      <w:r w:rsidRPr="009A5170">
        <w:rPr>
          <w:bCs w:val="0"/>
          <w:i/>
          <w:color w:val="212529"/>
          <w:u w:val="single"/>
        </w:rPr>
        <w:t>Ürün Standartları ile İlgili Uygulamalar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İtalya, ithal ürünlerde AB teknik mevzuatını uygulamaktadır. Söz konusu mevzuat, ürünlerin AB pazarına girişte tüketici sağlığı ve güvenliği ile çevrenin korunmasına ilişkin uyulması gereken zorunlulukları kapsamaktadır. Ürünlerin teknik mevzuata uygunluğu ithalat aşamasında kontrol edilebileceği gibi piyasa gözetimi yoluyla da denetlenebilmektedir.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lastRenderedPageBreak/>
        <w:t>Bu bölümde yer alan CE işareti, HACCP ve REACH uygulamaları hem AB içinde üretilen hem de AB’ye ithal edilen ürünleri kapsayan zorunlu sertifikasyon uygulamalarıdır. Bu suretle tarife dışı engellerden veya uygulanması zorunlu olmayan standartlardan farklı bir durum arz etmektedirler.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 xml:space="preserve">AB mevzuatı gereğince birçok makine, </w:t>
      </w:r>
      <w:proofErr w:type="gramStart"/>
      <w:r w:rsidRPr="00C45CDD">
        <w:rPr>
          <w:i/>
          <w:color w:val="212529"/>
          <w:sz w:val="16"/>
          <w:szCs w:val="16"/>
        </w:rPr>
        <w:t>ekipman</w:t>
      </w:r>
      <w:proofErr w:type="gramEnd"/>
      <w:r w:rsidRPr="00C45CDD">
        <w:rPr>
          <w:i/>
          <w:color w:val="212529"/>
          <w:sz w:val="16"/>
          <w:szCs w:val="16"/>
        </w:rPr>
        <w:t>, elektrikli alet, oyuncak vb. ürünün İtalya’ya (veya herhangi bir AB ülkesine) ihracatı için üzerinde CE işareti bulunması zorunludur. AB ülkelerinde üretilen ürünlerin CE işaretli olarak piyasaya sunulmasından üretici sorumludur. AB pazarına ithal edilen ürünler içinse bu sorumluluğu ithalatçı yerine getirmek zorundadır. Bir başka deyişle, ithalatçı ithal ettiği ürünlerin AB normlarına uygun olduğunu garanti etmek zorundadır. Ancak bu yasal zorunluluk uygulamada kaçınılmaz olarak üçüncü ülke üreticilerine yüklenmektedir. Başka bir deyişle, eğer ürün CE işareti taşımıyor ise AB’deki ithalatçı bu zorunluluğu yerine getiremeyeceğinden söz konusu ürünü ithal etmeyecektir.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Gıdalar ürünleri için HACCP (Kritik Kontrol Noktalarında Tehlike Analizi Sistemi) zorunluluğu bulunmaktadır.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 xml:space="preserve">AB genelinde gıdalarla ilgili genel prensiplerin ve temel düzenlemelerin çerçevesini belirleyen EC 178/2002 sayılı düzenleme ile Gıda Yasası uygulanmaktadır. 2002 yılı içerisinde yürürlüğe giren bu düzenlemeyle, aynı zamanda, AB Gıda Güvenliği Otoritesi kurulmuş ve gıda güvenliği konusundaki uygulanması zorunlu </w:t>
      </w:r>
      <w:proofErr w:type="gramStart"/>
      <w:r w:rsidRPr="00C45CDD">
        <w:rPr>
          <w:i/>
          <w:color w:val="212529"/>
          <w:sz w:val="16"/>
          <w:szCs w:val="16"/>
        </w:rPr>
        <w:t>prosedürler</w:t>
      </w:r>
      <w:proofErr w:type="gramEnd"/>
      <w:r w:rsidRPr="00C45CDD">
        <w:rPr>
          <w:i/>
          <w:color w:val="212529"/>
          <w:sz w:val="16"/>
          <w:szCs w:val="16"/>
        </w:rPr>
        <w:t xml:space="preserve"> belirlenmiştir. Düzenleme genel olarak Genel Gıda Yasası olarak bilinmekte olup, gıdaların izlenebilirliği konusunda da düzenlemeleri içermektedir (Madde 18). Genel Gıda Yasası’nın belirlediği ana başlıklar Ocak 2005 tarihinde uygulamaya girmiştir.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AB genelinde pazara sunulan taze meyve ve sebze ürünlerinin kalite ve etiketlemelerine ilişkin pazarlama standartları Ortak Tarım Politikası çerçevesinde çıkartılan EC 2200/96 sayılı kararname ile 28 Ekim 1996 tarihinde belirlenmiştir. Bu yasayla öngörülen standartlara sahip olmayan ürünler pazara sunulamamakta ve pazardan kaldırılmaktadır. AB pazarlama standart düzenlemeleri çerçevesinde kalite standartları belirlenmiş diğer ürünler arasında taze ve soğutulmuş balık (EC 2406/1996), yumurta (EC 1028/2006), zeytinyağı (EC 1019/2002) ile birlikte sert kabuklu meyveler arasında kabuklu fındık (EC 1284/2002) ve kabuklu ceviz bulunmaktadır.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1 Haziran 2007 tarihinde yürürlüğe giren REACH (</w:t>
      </w:r>
      <w:proofErr w:type="spellStart"/>
      <w:r w:rsidRPr="00C45CDD">
        <w:rPr>
          <w:i/>
          <w:color w:val="212529"/>
          <w:sz w:val="16"/>
          <w:szCs w:val="16"/>
        </w:rPr>
        <w:t>Registration</w:t>
      </w:r>
      <w:proofErr w:type="spellEnd"/>
      <w:r w:rsidRPr="00C45CDD">
        <w:rPr>
          <w:i/>
          <w:color w:val="212529"/>
          <w:sz w:val="16"/>
          <w:szCs w:val="16"/>
        </w:rPr>
        <w:t xml:space="preserve">, </w:t>
      </w:r>
      <w:proofErr w:type="spellStart"/>
      <w:r w:rsidRPr="00C45CDD">
        <w:rPr>
          <w:i/>
          <w:color w:val="212529"/>
          <w:sz w:val="16"/>
          <w:szCs w:val="16"/>
        </w:rPr>
        <w:t>Evaluation</w:t>
      </w:r>
      <w:proofErr w:type="spellEnd"/>
      <w:r w:rsidRPr="00C45CDD">
        <w:rPr>
          <w:i/>
          <w:color w:val="212529"/>
          <w:sz w:val="16"/>
          <w:szCs w:val="16"/>
        </w:rPr>
        <w:t xml:space="preserve">, </w:t>
      </w:r>
      <w:proofErr w:type="spellStart"/>
      <w:r w:rsidRPr="00C45CDD">
        <w:rPr>
          <w:i/>
          <w:color w:val="212529"/>
          <w:sz w:val="16"/>
          <w:szCs w:val="16"/>
        </w:rPr>
        <w:t>Authorization</w:t>
      </w:r>
      <w:proofErr w:type="spellEnd"/>
      <w:r w:rsidRPr="00C45CDD">
        <w:rPr>
          <w:i/>
          <w:color w:val="212529"/>
          <w:sz w:val="16"/>
          <w:szCs w:val="16"/>
        </w:rPr>
        <w:t xml:space="preserve"> </w:t>
      </w:r>
      <w:proofErr w:type="spellStart"/>
      <w:r w:rsidRPr="00C45CDD">
        <w:rPr>
          <w:i/>
          <w:color w:val="212529"/>
          <w:sz w:val="16"/>
          <w:szCs w:val="16"/>
        </w:rPr>
        <w:t>and</w:t>
      </w:r>
      <w:proofErr w:type="spellEnd"/>
      <w:r w:rsidRPr="00C45CDD">
        <w:rPr>
          <w:i/>
          <w:color w:val="212529"/>
          <w:sz w:val="16"/>
          <w:szCs w:val="16"/>
        </w:rPr>
        <w:t xml:space="preserve"> </w:t>
      </w:r>
      <w:proofErr w:type="spellStart"/>
      <w:r w:rsidRPr="00C45CDD">
        <w:rPr>
          <w:i/>
          <w:color w:val="212529"/>
          <w:sz w:val="16"/>
          <w:szCs w:val="16"/>
        </w:rPr>
        <w:t>Restriction</w:t>
      </w:r>
      <w:proofErr w:type="spellEnd"/>
      <w:r w:rsidRPr="00C45CDD">
        <w:rPr>
          <w:i/>
          <w:color w:val="212529"/>
          <w:sz w:val="16"/>
          <w:szCs w:val="16"/>
        </w:rPr>
        <w:t xml:space="preserve"> of </w:t>
      </w:r>
      <w:proofErr w:type="spellStart"/>
      <w:r w:rsidRPr="00C45CDD">
        <w:rPr>
          <w:i/>
          <w:color w:val="212529"/>
          <w:sz w:val="16"/>
          <w:szCs w:val="16"/>
        </w:rPr>
        <w:t>CHemicals</w:t>
      </w:r>
      <w:proofErr w:type="spellEnd"/>
      <w:r w:rsidRPr="00C45CDD">
        <w:rPr>
          <w:i/>
          <w:color w:val="212529"/>
          <w:sz w:val="16"/>
          <w:szCs w:val="16"/>
        </w:rPr>
        <w:t>), kimyasalların kaydı, değerlendirilmesi, izni ve kısıtlanmasını öngören yeni bir AB düzenlemesidir. Zorunlu bir uygulama olan REACH, bir dizi AB Yönetmelik ve Tüzüğünü kapsamakta ve onları tek bir sistem altında toplamaktadır. Söz konusu mevzuata göre AB pazarına kimyasal madde, müstahzar veya bunları içeren eşya ihracatı yapmak isteyen firmalar REACH mevzuatına tabiidir. REACH hakkında detaylı bilgiye http://reach.immib.org.tr adresinden ulaşılabilir.</w:t>
      </w:r>
    </w:p>
    <w:p w:rsidR="002A2BEA" w:rsidRPr="00C45CDD" w:rsidRDefault="002A2BEA" w:rsidP="002A2BEA">
      <w:pPr>
        <w:pStyle w:val="NormalWeb"/>
        <w:spacing w:before="0" w:beforeAutospacing="0"/>
        <w:jc w:val="both"/>
        <w:rPr>
          <w:i/>
          <w:color w:val="212529"/>
          <w:sz w:val="16"/>
          <w:szCs w:val="16"/>
        </w:rPr>
      </w:pPr>
      <w:r w:rsidRPr="00C45CDD">
        <w:rPr>
          <w:i/>
          <w:color w:val="212529"/>
          <w:sz w:val="16"/>
          <w:szCs w:val="16"/>
        </w:rPr>
        <w:t>ISO 9001:2000 Kalite Yönetim Sistemi, ISO 14001 Çevre Yönetim Sistemi ve GLOBALGAP sertifikası tüketici tercihleri açısından önem taşımaktadır.</w:t>
      </w:r>
    </w:p>
    <w:p w:rsidR="002A2BEA" w:rsidRDefault="002A2BEA" w:rsidP="002A2BEA">
      <w:pPr>
        <w:pStyle w:val="Balk2"/>
        <w:shd w:val="clear" w:color="auto" w:fill="F1F1F1"/>
        <w:spacing w:before="0" w:after="139"/>
        <w:rPr>
          <w:rFonts w:ascii="Arial" w:hAnsi="Arial" w:cs="Arial"/>
          <w:color w:val="09376B"/>
          <w:sz w:val="24"/>
          <w:szCs w:val="24"/>
        </w:rPr>
      </w:pPr>
      <w:r>
        <w:rPr>
          <w:rFonts w:ascii="Arial" w:hAnsi="Arial" w:cs="Arial"/>
          <w:color w:val="09376B"/>
          <w:sz w:val="24"/>
          <w:szCs w:val="24"/>
        </w:rPr>
        <w:t>Türkiye ile Ticaret</w:t>
      </w:r>
    </w:p>
    <w:p w:rsidR="002A2BEA" w:rsidRPr="00C45CDD" w:rsidRDefault="002A2BEA" w:rsidP="002A2BEA">
      <w:pPr>
        <w:pStyle w:val="NormalWeb"/>
        <w:spacing w:before="0" w:beforeAutospacing="0"/>
        <w:jc w:val="both"/>
        <w:rPr>
          <w:rStyle w:val="Gl"/>
          <w:b w:val="0"/>
          <w:bCs w:val="0"/>
          <w:color w:val="212529"/>
          <w:sz w:val="16"/>
          <w:szCs w:val="16"/>
          <w:shd w:val="clear" w:color="auto" w:fill="FFFFFF"/>
        </w:rPr>
      </w:pPr>
      <w:r w:rsidRPr="00C45CDD">
        <w:rPr>
          <w:i/>
          <w:color w:val="212529"/>
          <w:sz w:val="16"/>
          <w:szCs w:val="16"/>
          <w:shd w:val="clear" w:color="auto" w:fill="FFFFFF"/>
        </w:rPr>
        <w:t xml:space="preserve">İtalya 2018 yılı itibarı ile Almanya ve Birleşik </w:t>
      </w:r>
      <w:proofErr w:type="spellStart"/>
      <w:r w:rsidRPr="00C45CDD">
        <w:rPr>
          <w:i/>
          <w:color w:val="212529"/>
          <w:sz w:val="16"/>
          <w:szCs w:val="16"/>
          <w:shd w:val="clear" w:color="auto" w:fill="FFFFFF"/>
        </w:rPr>
        <w:t>Krallık’ın</w:t>
      </w:r>
      <w:proofErr w:type="spellEnd"/>
      <w:r w:rsidRPr="00C45CDD">
        <w:rPr>
          <w:i/>
          <w:color w:val="212529"/>
          <w:sz w:val="16"/>
          <w:szCs w:val="16"/>
          <w:shd w:val="clear" w:color="auto" w:fill="FFFFFF"/>
        </w:rPr>
        <w:t xml:space="preserve"> ardından ülkemizin en çok ihracat gerçekleştirdiği 3. ülke konumundadır. Türkiye’nin İtalya’ya ihracatında en önemli ürün grubu otomotiv sanayi ürünleridir. Bunu dokumacılık ürünleri, makineler ve elektrikli makineler,  tarım/gıda maddeleri izlemektedir. Türkiye’nin İtalya’dan gerçekleştirdiği 2018 yılı ithalatına bakıldığında ise makine ve elektrikli makineler, otomotiv, plastik ve plastikten ürünler, mineral yakıtlar ve mineral yağlar ilk sırada yer alan ürün gruplarını oluşturmaktadır</w:t>
      </w:r>
      <w:r w:rsidRPr="00C45CDD">
        <w:rPr>
          <w:color w:val="212529"/>
          <w:sz w:val="16"/>
          <w:szCs w:val="16"/>
          <w:shd w:val="clear" w:color="auto" w:fill="FFFFFF"/>
        </w:rPr>
        <w:t>.</w:t>
      </w:r>
    </w:p>
    <w:p w:rsidR="002A2BEA" w:rsidRPr="00C45CDD" w:rsidRDefault="002A2BEA" w:rsidP="002A2BEA">
      <w:pPr>
        <w:pStyle w:val="NormalWeb"/>
        <w:spacing w:before="0" w:beforeAutospacing="0"/>
        <w:jc w:val="both"/>
        <w:rPr>
          <w:rStyle w:val="Gl"/>
          <w:rFonts w:eastAsiaTheme="majorEastAsia"/>
          <w:i/>
          <w:color w:val="212529"/>
          <w:sz w:val="20"/>
          <w:szCs w:val="20"/>
          <w:u w:val="single"/>
          <w:shd w:val="clear" w:color="auto" w:fill="FFFFFF"/>
        </w:rPr>
      </w:pPr>
      <w:r w:rsidRPr="00C45CDD">
        <w:rPr>
          <w:rStyle w:val="Gl"/>
          <w:rFonts w:eastAsiaTheme="majorEastAsia"/>
          <w:i/>
          <w:color w:val="212529"/>
          <w:sz w:val="20"/>
          <w:szCs w:val="20"/>
          <w:u w:val="single"/>
          <w:shd w:val="clear" w:color="auto" w:fill="FFFFFF"/>
        </w:rPr>
        <w:t>Türkiye-İtalya Dış Ticaret Değerleri (Milyon $)</w:t>
      </w:r>
    </w:p>
    <w:tbl>
      <w:tblPr>
        <w:tblW w:w="5000" w:type="pct"/>
        <w:tblCellMar>
          <w:left w:w="0" w:type="dxa"/>
          <w:right w:w="0" w:type="dxa"/>
        </w:tblCellMar>
        <w:tblLook w:val="04A0"/>
      </w:tblPr>
      <w:tblGrid>
        <w:gridCol w:w="1335"/>
        <w:gridCol w:w="1004"/>
        <w:gridCol w:w="994"/>
        <w:gridCol w:w="982"/>
        <w:gridCol w:w="1126"/>
        <w:gridCol w:w="994"/>
        <w:gridCol w:w="909"/>
        <w:gridCol w:w="994"/>
        <w:gridCol w:w="874"/>
      </w:tblGrid>
      <w:tr w:rsidR="002A2BEA" w:rsidRPr="002A2BEA" w:rsidTr="002A2BEA">
        <w:trPr>
          <w:trHeight w:val="158"/>
        </w:trPr>
        <w:tc>
          <w:tcPr>
            <w:tcW w:w="123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Yıllar</w:t>
            </w:r>
          </w:p>
        </w:tc>
        <w:tc>
          <w:tcPr>
            <w:tcW w:w="929"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İhracat</w:t>
            </w:r>
          </w:p>
        </w:tc>
        <w:tc>
          <w:tcPr>
            <w:tcW w:w="77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İhracat</w:t>
            </w:r>
            <w:r w:rsidRPr="002A2BEA">
              <w:rPr>
                <w:rFonts w:ascii="Arial" w:eastAsia="Times New Roman" w:hAnsi="Arial" w:cs="Arial"/>
                <w:color w:val="212529"/>
                <w:sz w:val="15"/>
                <w:szCs w:val="15"/>
              </w:rPr>
              <w:br/>
            </w:r>
            <w:r w:rsidRPr="002A2BEA">
              <w:rPr>
                <w:rFonts w:ascii="Arial" w:eastAsia="Times New Roman" w:hAnsi="Arial" w:cs="Arial"/>
                <w:b/>
                <w:bCs/>
                <w:color w:val="212529"/>
                <w:sz w:val="20"/>
              </w:rPr>
              <w:t>Değişim</w:t>
            </w:r>
            <w:r w:rsidRPr="002A2BEA">
              <w:rPr>
                <w:rFonts w:ascii="Arial" w:eastAsia="Times New Roman" w:hAnsi="Arial" w:cs="Arial"/>
                <w:color w:val="212529"/>
                <w:sz w:val="15"/>
                <w:szCs w:val="15"/>
              </w:rPr>
              <w:br/>
            </w:r>
            <w:r w:rsidRPr="002A2BEA">
              <w:rPr>
                <w:rFonts w:ascii="Arial" w:eastAsia="Times New Roman" w:hAnsi="Arial" w:cs="Arial"/>
                <w:b/>
                <w:bCs/>
                <w:color w:val="212529"/>
                <w:sz w:val="20"/>
              </w:rPr>
              <w:t>%</w:t>
            </w:r>
          </w:p>
        </w:tc>
        <w:tc>
          <w:tcPr>
            <w:tcW w:w="762" w:type="dxa"/>
            <w:tcBorders>
              <w:top w:val="single" w:sz="8" w:space="0" w:color="959595"/>
              <w:left w:val="nil"/>
              <w:bottom w:val="single" w:sz="8" w:space="0" w:color="auto"/>
              <w:right w:val="nil"/>
            </w:tcBorders>
            <w:tcMar>
              <w:top w:w="0" w:type="dxa"/>
              <w:left w:w="70" w:type="dxa"/>
              <w:bottom w:w="0" w:type="dxa"/>
              <w:right w:w="70" w:type="dxa"/>
            </w:tcMa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Genel İhracata Oranı</w:t>
            </w:r>
            <w:r w:rsidRPr="002A2BEA">
              <w:rPr>
                <w:rFonts w:ascii="Arial" w:eastAsia="Times New Roman" w:hAnsi="Arial" w:cs="Arial"/>
                <w:color w:val="212529"/>
                <w:sz w:val="15"/>
                <w:szCs w:val="15"/>
              </w:rPr>
              <w:br/>
            </w:r>
            <w:r w:rsidRPr="002A2BEA">
              <w:rPr>
                <w:rFonts w:ascii="Arial" w:eastAsia="Times New Roman" w:hAnsi="Arial" w:cs="Arial"/>
                <w:b/>
                <w:bCs/>
                <w:color w:val="212529"/>
                <w:sz w:val="20"/>
              </w:rPr>
              <w:t>%</w:t>
            </w:r>
          </w:p>
        </w:tc>
        <w:tc>
          <w:tcPr>
            <w:tcW w:w="104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İthalat</w:t>
            </w:r>
          </w:p>
        </w:tc>
        <w:tc>
          <w:tcPr>
            <w:tcW w:w="7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İthalat</w:t>
            </w:r>
            <w:r w:rsidRPr="002A2BEA">
              <w:rPr>
                <w:rFonts w:ascii="Arial" w:eastAsia="Times New Roman" w:hAnsi="Arial" w:cs="Arial"/>
                <w:color w:val="212529"/>
                <w:sz w:val="15"/>
                <w:szCs w:val="15"/>
              </w:rPr>
              <w:br/>
            </w:r>
            <w:r w:rsidRPr="002A2BEA">
              <w:rPr>
                <w:rFonts w:ascii="Arial" w:eastAsia="Times New Roman" w:hAnsi="Arial" w:cs="Arial"/>
                <w:b/>
                <w:bCs/>
                <w:color w:val="212529"/>
                <w:sz w:val="20"/>
              </w:rPr>
              <w:t>Değişim</w:t>
            </w:r>
            <w:r w:rsidRPr="002A2BEA">
              <w:rPr>
                <w:rFonts w:ascii="Arial" w:eastAsia="Times New Roman" w:hAnsi="Arial" w:cs="Arial"/>
                <w:color w:val="212529"/>
                <w:sz w:val="15"/>
                <w:szCs w:val="15"/>
              </w:rPr>
              <w:br/>
            </w:r>
            <w:r w:rsidRPr="002A2BEA">
              <w:rPr>
                <w:rFonts w:ascii="Arial" w:eastAsia="Times New Roman" w:hAnsi="Arial" w:cs="Arial"/>
                <w:b/>
                <w:bCs/>
                <w:color w:val="212529"/>
                <w:sz w:val="20"/>
              </w:rPr>
              <w:t>%</w:t>
            </w:r>
          </w:p>
        </w:tc>
        <w:tc>
          <w:tcPr>
            <w:tcW w:w="706" w:type="dxa"/>
            <w:tcBorders>
              <w:top w:val="single" w:sz="8" w:space="0" w:color="959595"/>
              <w:left w:val="nil"/>
              <w:bottom w:val="single" w:sz="8" w:space="0" w:color="auto"/>
              <w:right w:val="nil"/>
            </w:tcBorders>
            <w:tcMar>
              <w:top w:w="0" w:type="dxa"/>
              <w:left w:w="70" w:type="dxa"/>
              <w:bottom w:w="0" w:type="dxa"/>
              <w:right w:w="70" w:type="dxa"/>
            </w:tcMa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Genel İthalata Oranı</w:t>
            </w:r>
            <w:r w:rsidRPr="002A2BEA">
              <w:rPr>
                <w:rFonts w:ascii="Arial" w:eastAsia="Times New Roman" w:hAnsi="Arial" w:cs="Arial"/>
                <w:color w:val="212529"/>
                <w:sz w:val="15"/>
                <w:szCs w:val="15"/>
              </w:rPr>
              <w:br/>
            </w:r>
            <w:r w:rsidRPr="002A2BEA">
              <w:rPr>
                <w:rFonts w:ascii="Arial" w:eastAsia="Times New Roman" w:hAnsi="Arial" w:cs="Arial"/>
                <w:b/>
                <w:bCs/>
                <w:color w:val="212529"/>
                <w:sz w:val="20"/>
              </w:rPr>
              <w:t>%</w:t>
            </w:r>
          </w:p>
        </w:tc>
        <w:tc>
          <w:tcPr>
            <w:tcW w:w="818"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Hacim</w:t>
            </w:r>
          </w:p>
        </w:tc>
        <w:tc>
          <w:tcPr>
            <w:tcW w:w="75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Denge</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2005</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5.616,8</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20,8</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7,64</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7.566,3</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10,2</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6,48</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13.183,0</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-1.949,5</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2006</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6.752,4</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20,2</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7,89</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8.663,5</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14,5</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6,21</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15.415,8</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-1.911,1</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2007</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7.480,1</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10,8</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6,97</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9.968,0</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15,1</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5,86</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17.448,0</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-2.487,9</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2008</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7.819,0</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4,5</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5,92</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11.011,5</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10,5</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5,45</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18.830,5</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-3.192,5</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2009</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5.890,5</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-24,7</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5,77</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7.673,4</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-30,3</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5,44</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13.563,9</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-1.782,9</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2010</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6.505,3</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10,4</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5,71</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10.203,7</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33,0</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5,50</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16.709,0</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-3.698,4</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2011</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7.851,5</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20,7</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5,82</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13.549,5</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32,8</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5,63</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21.401,0</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-5.698,0</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2012</w:t>
            </w:r>
          </w:p>
        </w:tc>
        <w:tc>
          <w:tcPr>
            <w:tcW w:w="92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6.372,5</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-18,8</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4,18</w:t>
            </w:r>
          </w:p>
        </w:tc>
        <w:tc>
          <w:tcPr>
            <w:tcW w:w="104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13.559,7</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0,1</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5,73</w:t>
            </w:r>
          </w:p>
        </w:tc>
        <w:tc>
          <w:tcPr>
            <w:tcW w:w="81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19.932,2</w:t>
            </w:r>
          </w:p>
        </w:tc>
        <w:tc>
          <w:tcPr>
            <w:tcW w:w="75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-7.187,2</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2013</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6.718,4</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5,4</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4,43</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13.097,1</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-3,4</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5,20</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19.815,5</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-6.378,7</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2014</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7.141,1</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6,3</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4,53</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12.195,5</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-6,9</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5,04</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19.336,5</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-5.054,4</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2015</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6.887,4</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-3,6</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4,79</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10.756,9</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-11,8</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5,19</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17.644,3</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-3.869,5</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2016</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7.580,8</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10,1</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5,32</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10.226,9</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-4,9</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5,15</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17.807,7</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-2.646,1</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2017</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8.473,5</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11,8</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5,40</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11.360,6</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11,1</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4,86</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19.834,1</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-2.887,2</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2018</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9.566,4</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12,9</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5,69</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10.156,0</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-10,2</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4,57</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19.722,4</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color w:val="212529"/>
                <w:sz w:val="20"/>
                <w:szCs w:val="20"/>
              </w:rPr>
              <w:t>-589,7</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2018 / (1-3)</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2.562,6</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21,3</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6,23</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2.793,4</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18,5</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4,51</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5.356,0</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-230,9</w:t>
            </w:r>
          </w:p>
        </w:tc>
      </w:tr>
      <w:tr w:rsidR="002A2BEA" w:rsidRPr="002A2BEA" w:rsidTr="002A2BEA">
        <w:trPr>
          <w:trHeight w:val="158"/>
        </w:trPr>
        <w:tc>
          <w:tcPr>
            <w:tcW w:w="123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lastRenderedPageBreak/>
              <w:t>2019 / (1-3)</w:t>
            </w:r>
          </w:p>
        </w:tc>
        <w:tc>
          <w:tcPr>
            <w:tcW w:w="929"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2.416,2</w:t>
            </w:r>
          </w:p>
        </w:tc>
        <w:tc>
          <w:tcPr>
            <w:tcW w:w="77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-5,7</w:t>
            </w:r>
          </w:p>
        </w:tc>
        <w:tc>
          <w:tcPr>
            <w:tcW w:w="762"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5,72</w:t>
            </w:r>
          </w:p>
        </w:tc>
        <w:tc>
          <w:tcPr>
            <w:tcW w:w="1041"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1.879,4</w:t>
            </w:r>
          </w:p>
        </w:tc>
        <w:tc>
          <w:tcPr>
            <w:tcW w:w="78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-32,7</w:t>
            </w:r>
          </w:p>
        </w:tc>
        <w:tc>
          <w:tcPr>
            <w:tcW w:w="706" w:type="dxa"/>
            <w:tcBorders>
              <w:top w:val="nil"/>
              <w:left w:val="nil"/>
              <w:bottom w:val="single" w:sz="8" w:space="0" w:color="auto"/>
              <w:right w:val="nil"/>
            </w:tcBorders>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3,83</w:t>
            </w:r>
          </w:p>
        </w:tc>
        <w:tc>
          <w:tcPr>
            <w:tcW w:w="818"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4.295,6</w:t>
            </w:r>
          </w:p>
        </w:tc>
        <w:tc>
          <w:tcPr>
            <w:tcW w:w="7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2A2BEA" w:rsidRPr="002A2BEA" w:rsidRDefault="002A2BEA" w:rsidP="002A2BEA">
            <w:pPr>
              <w:spacing w:after="0" w:line="240" w:lineRule="auto"/>
              <w:jc w:val="center"/>
              <w:rPr>
                <w:rFonts w:ascii="Arial" w:eastAsia="Times New Roman" w:hAnsi="Arial" w:cs="Arial"/>
                <w:color w:val="212529"/>
                <w:sz w:val="15"/>
                <w:szCs w:val="15"/>
              </w:rPr>
            </w:pPr>
            <w:r w:rsidRPr="002A2BEA">
              <w:rPr>
                <w:rFonts w:ascii="Arial" w:eastAsia="Times New Roman" w:hAnsi="Arial" w:cs="Arial"/>
                <w:b/>
                <w:bCs/>
                <w:color w:val="212529"/>
                <w:sz w:val="20"/>
              </w:rPr>
              <w:t>536,8</w:t>
            </w:r>
          </w:p>
        </w:tc>
      </w:tr>
    </w:tbl>
    <w:p w:rsidR="002A2BEA" w:rsidRPr="002A2BEA" w:rsidRDefault="002A2BEA" w:rsidP="002A2BEA">
      <w:pPr>
        <w:spacing w:after="100" w:afterAutospacing="1" w:line="240" w:lineRule="auto"/>
        <w:jc w:val="both"/>
        <w:rPr>
          <w:rFonts w:ascii="Arial" w:eastAsia="Times New Roman" w:hAnsi="Arial" w:cs="Arial"/>
          <w:color w:val="212529"/>
          <w:sz w:val="15"/>
          <w:szCs w:val="15"/>
        </w:rPr>
      </w:pPr>
      <w:r w:rsidRPr="002A2BEA">
        <w:rPr>
          <w:rFonts w:ascii="Arial" w:eastAsia="Times New Roman" w:hAnsi="Arial" w:cs="Arial"/>
          <w:i/>
          <w:iCs/>
          <w:color w:val="212529"/>
          <w:sz w:val="13"/>
        </w:rPr>
        <w:t>Kaynak: TÜİK</w:t>
      </w:r>
    </w:p>
    <w:p w:rsidR="002A2BEA" w:rsidRPr="00C45CDD" w:rsidRDefault="002A2BEA" w:rsidP="002A2BEA">
      <w:pPr>
        <w:spacing w:after="100" w:afterAutospacing="1" w:line="240" w:lineRule="auto"/>
        <w:jc w:val="both"/>
        <w:rPr>
          <w:rFonts w:ascii="Arial" w:eastAsia="Times New Roman" w:hAnsi="Arial" w:cs="Arial"/>
          <w:i/>
          <w:color w:val="212529"/>
          <w:sz w:val="20"/>
          <w:szCs w:val="20"/>
          <w:u w:val="single"/>
        </w:rPr>
      </w:pPr>
      <w:r w:rsidRPr="002A2BEA">
        <w:rPr>
          <w:rFonts w:ascii="Arial" w:eastAsia="Times New Roman" w:hAnsi="Arial" w:cs="Arial"/>
          <w:color w:val="212529"/>
          <w:sz w:val="15"/>
          <w:szCs w:val="15"/>
        </w:rPr>
        <w:br/>
      </w:r>
      <w:r w:rsidRPr="00C45CDD">
        <w:rPr>
          <w:rFonts w:ascii="Arial" w:eastAsia="Times New Roman" w:hAnsi="Arial" w:cs="Arial"/>
          <w:b/>
          <w:bCs/>
          <w:i/>
          <w:color w:val="212529"/>
          <w:sz w:val="20"/>
          <w:szCs w:val="20"/>
          <w:u w:val="single"/>
        </w:rPr>
        <w:t>Türkiye’nin İtalya’ya İhracatında Başlıca Ürünler (1 000 $)</w:t>
      </w:r>
    </w:p>
    <w:tbl>
      <w:tblPr>
        <w:tblW w:w="5000" w:type="pct"/>
        <w:tblCellMar>
          <w:left w:w="0" w:type="dxa"/>
          <w:right w:w="0" w:type="dxa"/>
        </w:tblCellMar>
        <w:tblLook w:val="04A0"/>
      </w:tblPr>
      <w:tblGrid>
        <w:gridCol w:w="669"/>
        <w:gridCol w:w="3445"/>
        <w:gridCol w:w="1163"/>
        <w:gridCol w:w="1163"/>
        <w:gridCol w:w="1151"/>
        <w:gridCol w:w="977"/>
        <w:gridCol w:w="644"/>
      </w:tblGrid>
      <w:tr w:rsidR="002A2BEA" w:rsidRPr="002A2BEA" w:rsidTr="002A2BEA">
        <w:trPr>
          <w:trHeight w:val="195"/>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GTİP NO</w:t>
            </w:r>
          </w:p>
        </w:tc>
        <w:tc>
          <w:tcPr>
            <w:tcW w:w="29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GTİP TANIMI</w:t>
            </w:r>
          </w:p>
        </w:tc>
        <w:tc>
          <w:tcPr>
            <w:tcW w:w="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2016</w:t>
            </w:r>
          </w:p>
        </w:tc>
        <w:tc>
          <w:tcPr>
            <w:tcW w:w="98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2017</w:t>
            </w:r>
          </w:p>
        </w:tc>
        <w:tc>
          <w:tcPr>
            <w:tcW w:w="97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2018</w:t>
            </w:r>
          </w:p>
        </w:tc>
        <w:tc>
          <w:tcPr>
            <w:tcW w:w="82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2017-2018</w:t>
            </w:r>
            <w:r w:rsidRPr="002A2BEA">
              <w:rPr>
                <w:rFonts w:ascii="Times New Roman" w:eastAsia="Times New Roman" w:hAnsi="Times New Roman" w:cs="Times New Roman"/>
                <w:i/>
                <w:color w:val="212529"/>
                <w:sz w:val="18"/>
                <w:szCs w:val="18"/>
              </w:rPr>
              <w:br/>
            </w:r>
            <w:r w:rsidRPr="002A2BEA">
              <w:rPr>
                <w:rFonts w:ascii="Times New Roman" w:eastAsia="Times New Roman" w:hAnsi="Times New Roman" w:cs="Times New Roman"/>
                <w:b/>
                <w:bCs/>
                <w:i/>
                <w:color w:val="212529"/>
                <w:sz w:val="18"/>
                <w:szCs w:val="18"/>
              </w:rPr>
              <w:t>Değişim</w:t>
            </w:r>
            <w:r w:rsidRPr="002A2BEA">
              <w:rPr>
                <w:rFonts w:ascii="Times New Roman" w:eastAsia="Times New Roman" w:hAnsi="Times New Roman" w:cs="Times New Roman"/>
                <w:i/>
                <w:color w:val="212529"/>
                <w:sz w:val="18"/>
                <w:szCs w:val="18"/>
              </w:rPr>
              <w:br/>
            </w:r>
            <w:r w:rsidRPr="002A2BEA">
              <w:rPr>
                <w:rFonts w:ascii="Times New Roman" w:eastAsia="Times New Roman" w:hAnsi="Times New Roman" w:cs="Times New Roman"/>
                <w:b/>
                <w:bCs/>
                <w:i/>
                <w:color w:val="212529"/>
                <w:sz w:val="18"/>
                <w:szCs w:val="18"/>
              </w:rPr>
              <w:t>%</w:t>
            </w:r>
          </w:p>
        </w:tc>
        <w:tc>
          <w:tcPr>
            <w:tcW w:w="53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2018 Pay</w:t>
            </w:r>
            <w:r w:rsidRPr="002A2BEA">
              <w:rPr>
                <w:rFonts w:ascii="Times New Roman" w:eastAsia="Times New Roman" w:hAnsi="Times New Roman" w:cs="Times New Roman"/>
                <w:i/>
                <w:color w:val="212529"/>
                <w:sz w:val="18"/>
                <w:szCs w:val="18"/>
              </w:rPr>
              <w:br/>
            </w:r>
            <w:r w:rsidRPr="002A2BEA">
              <w:rPr>
                <w:rFonts w:ascii="Times New Roman" w:eastAsia="Times New Roman" w:hAnsi="Times New Roman" w:cs="Times New Roman"/>
                <w:b/>
                <w:bCs/>
                <w:i/>
                <w:color w:val="212529"/>
                <w:sz w:val="18"/>
                <w:szCs w:val="18"/>
              </w:rPr>
              <w:t>%</w:t>
            </w:r>
          </w:p>
        </w:tc>
      </w:tr>
      <w:tr w:rsidR="002A2BEA" w:rsidRPr="002A2BEA" w:rsidTr="002A2BEA">
        <w:trPr>
          <w:trHeight w:val="195"/>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Genel Toplam</w:t>
            </w:r>
          </w:p>
        </w:tc>
        <w:tc>
          <w:tcPr>
            <w:tcW w:w="9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7.580.892</w:t>
            </w:r>
          </w:p>
        </w:tc>
        <w:tc>
          <w:tcPr>
            <w:tcW w:w="98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8.473.629</w:t>
            </w:r>
          </w:p>
        </w:tc>
        <w:tc>
          <w:tcPr>
            <w:tcW w:w="9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9.562.729</w:t>
            </w:r>
          </w:p>
        </w:tc>
        <w:tc>
          <w:tcPr>
            <w:tcW w:w="82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12,9</w:t>
            </w:r>
          </w:p>
        </w:tc>
        <w:tc>
          <w:tcPr>
            <w:tcW w:w="53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100,0</w:t>
            </w:r>
          </w:p>
        </w:tc>
      </w:tr>
      <w:tr w:rsidR="002A2BEA" w:rsidRPr="002A2BEA" w:rsidTr="002A2BEA">
        <w:trPr>
          <w:trHeight w:val="334"/>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8703</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Otomobil, steyşın vagonlar, yarış arabaları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1.421.294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1.718.744</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1.708.191</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17,9</w:t>
            </w:r>
          </w:p>
        </w:tc>
      </w:tr>
      <w:tr w:rsidR="002A2BEA" w:rsidRPr="002A2BEA" w:rsidTr="002A2BEA">
        <w:trPr>
          <w:trHeight w:val="418"/>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7208</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Demir/çelik sıcak hadde yassı mamulleri-genişlik 600mm. Fazla</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146.753</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361.517</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801.957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121,8</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8,4</w:t>
            </w:r>
          </w:p>
        </w:tc>
      </w:tr>
      <w:tr w:rsidR="002A2BEA" w:rsidRPr="002A2BEA" w:rsidTr="002A2BEA">
        <w:trPr>
          <w:trHeight w:val="511"/>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8704</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Eşya taşımaya mahsus motorlu taşıtlar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641.428</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612.022</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606.158</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6,3</w:t>
            </w:r>
          </w:p>
        </w:tc>
      </w:tr>
      <w:tr w:rsidR="002A2BEA" w:rsidRPr="002A2BEA" w:rsidTr="002A2BEA">
        <w:trPr>
          <w:trHeight w:val="297"/>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0802</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Diğer kabuklu meyveler (taze/kurutulmuş) (kabuğu çıkarılmış/soyulmuş)</w:t>
            </w:r>
            <w:r w:rsidRPr="002A2BEA">
              <w:rPr>
                <w:rFonts w:ascii="Times New Roman" w:eastAsia="Times New Roman" w:hAnsi="Times New Roman" w:cs="Times New Roman"/>
                <w:i/>
                <w:color w:val="212529"/>
                <w:sz w:val="18"/>
                <w:szCs w:val="18"/>
              </w:rPr>
              <w:br/>
              <w:t> </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477.990</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388.625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347.668</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3,6</w:t>
            </w:r>
          </w:p>
        </w:tc>
      </w:tr>
      <w:tr w:rsidR="002A2BEA" w:rsidRPr="002A2BEA" w:rsidTr="002A2BEA">
        <w:trPr>
          <w:trHeight w:val="307"/>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8708</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Kara taşıtları için aksam, parçaları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269.172</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284.657</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303.127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3,2</w:t>
            </w:r>
          </w:p>
        </w:tc>
      </w:tr>
      <w:tr w:rsidR="002A2BEA" w:rsidRPr="002A2BEA" w:rsidTr="002A2BEA">
        <w:trPr>
          <w:trHeight w:val="167"/>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8702</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Toplu halde yolcu taşımağa mahsus motorlu taşıtlar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119.318</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147.624</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207.562</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40,6</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2,2</w:t>
            </w:r>
          </w:p>
        </w:tc>
      </w:tr>
      <w:tr w:rsidR="002A2BEA" w:rsidRPr="002A2BEA" w:rsidTr="002A2BEA">
        <w:trPr>
          <w:trHeight w:val="232"/>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8701</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Traktörler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77.754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100.389</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181.862</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81,2</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w:t>
            </w:r>
          </w:p>
        </w:tc>
      </w:tr>
      <w:tr w:rsidR="002A2BEA" w:rsidRPr="002A2BEA" w:rsidTr="002A2BEA">
        <w:trPr>
          <w:trHeight w:val="37"/>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7413</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Bakırdan ince, kalın, örme vb. Halatlar (elektrik-izole hariç)</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71.990</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94.604</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118.070</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24,8</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w:t>
            </w:r>
          </w:p>
        </w:tc>
      </w:tr>
      <w:tr w:rsidR="002A2BEA" w:rsidRPr="002A2BEA" w:rsidTr="002A2BEA">
        <w:trPr>
          <w:trHeight w:val="232"/>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4011</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Kauçuktan yeni dış lastikler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104.585</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102.582</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111.485</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8,7</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w:t>
            </w:r>
          </w:p>
        </w:tc>
      </w:tr>
      <w:tr w:rsidR="002A2BEA" w:rsidRPr="002A2BEA" w:rsidTr="002A2BEA">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5205</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Pamuk (dikiş hariç) ipliği (ağırlık; =&gt;%85 pamuk) (toptan)</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96.840</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105.845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108.465</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w:t>
            </w:r>
          </w:p>
        </w:tc>
      </w:tr>
      <w:tr w:rsidR="002A2BEA" w:rsidRPr="002A2BEA" w:rsidTr="002A2BEA">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8418</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Buzdolapları, dondurucular, soğutucular, ısı pompaları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98.137</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121.638</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106.398</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w:t>
            </w:r>
          </w:p>
        </w:tc>
      </w:tr>
      <w:tr w:rsidR="002A2BEA" w:rsidRPr="002A2BEA" w:rsidTr="002A2BEA">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6109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Tişört, fanila, diğer iç giyim eşyası (örme)</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109.977</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95.247</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94.442</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w:t>
            </w:r>
          </w:p>
        </w:tc>
      </w:tr>
      <w:tr w:rsidR="002A2BEA" w:rsidRPr="002A2BEA" w:rsidTr="002A2BEA">
        <w:trPr>
          <w:trHeight w:val="251"/>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6006</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Diğer örme mensucat</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81.919</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96.645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92.531</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-4,3</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w:t>
            </w:r>
          </w:p>
        </w:tc>
      </w:tr>
      <w:tr w:rsidR="002A2BEA" w:rsidRPr="002A2BEA" w:rsidTr="002A2BEA">
        <w:trPr>
          <w:trHeight w:val="242"/>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8450</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Çamaşır yıkama makineleri</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94.353</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91.129</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87.265</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-4,2</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288"/>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6204</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Kadın/kız çocuk için takım, takım elbise, ceket vs.</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78.341</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84.537</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85.264</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37"/>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6004</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Diğer örme mensucat (en&gt;30cm, </w:t>
            </w:r>
            <w:proofErr w:type="spellStart"/>
            <w:r w:rsidRPr="002A2BEA">
              <w:rPr>
                <w:rFonts w:ascii="Times New Roman" w:eastAsia="Times New Roman" w:hAnsi="Times New Roman" w:cs="Times New Roman"/>
                <w:i/>
                <w:color w:val="212529"/>
                <w:sz w:val="18"/>
                <w:szCs w:val="18"/>
              </w:rPr>
              <w:t>elastomerik</w:t>
            </w:r>
            <w:proofErr w:type="spellEnd"/>
            <w:r w:rsidRPr="002A2BEA">
              <w:rPr>
                <w:rFonts w:ascii="Times New Roman" w:eastAsia="Times New Roman" w:hAnsi="Times New Roman" w:cs="Times New Roman"/>
                <w:i/>
                <w:color w:val="212529"/>
                <w:sz w:val="18"/>
                <w:szCs w:val="18"/>
              </w:rPr>
              <w:t>/kauçuk iplik=&gt;%5)</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104.143</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104.607</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81.957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-21,7</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195"/>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8415</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Klima cihazları-vantilatörlü, ısı, nem değiştirme tertibatlı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17.922</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30.165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79.090</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162,2</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95"/>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8528</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Televizyon alıcıları, video monitörleri ve </w:t>
            </w:r>
            <w:proofErr w:type="gramStart"/>
            <w:r w:rsidRPr="002A2BEA">
              <w:rPr>
                <w:rFonts w:ascii="Times New Roman" w:eastAsia="Times New Roman" w:hAnsi="Times New Roman" w:cs="Times New Roman"/>
                <w:i/>
                <w:color w:val="212529"/>
                <w:sz w:val="18"/>
                <w:szCs w:val="18"/>
              </w:rPr>
              <w:t>projektörler</w:t>
            </w:r>
            <w:proofErr w:type="gramEnd"/>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61.394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77.183</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78.337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8409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İçten yanmalı, pistonlu motorların aksam-parçaları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67.251</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78.801</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75.195</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-4,6</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2529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proofErr w:type="spellStart"/>
            <w:r w:rsidRPr="002A2BEA">
              <w:rPr>
                <w:rFonts w:ascii="Times New Roman" w:eastAsia="Times New Roman" w:hAnsi="Times New Roman" w:cs="Times New Roman"/>
                <w:i/>
                <w:color w:val="212529"/>
                <w:sz w:val="18"/>
                <w:szCs w:val="18"/>
              </w:rPr>
              <w:t>Feldispat</w:t>
            </w:r>
            <w:proofErr w:type="spellEnd"/>
            <w:r w:rsidRPr="002A2BEA">
              <w:rPr>
                <w:rFonts w:ascii="Times New Roman" w:eastAsia="Times New Roman" w:hAnsi="Times New Roman" w:cs="Times New Roman"/>
                <w:i/>
                <w:color w:val="212529"/>
                <w:sz w:val="18"/>
                <w:szCs w:val="18"/>
              </w:rPr>
              <w:t xml:space="preserve">; </w:t>
            </w:r>
            <w:proofErr w:type="spellStart"/>
            <w:r w:rsidRPr="002A2BEA">
              <w:rPr>
                <w:rFonts w:ascii="Times New Roman" w:eastAsia="Times New Roman" w:hAnsi="Times New Roman" w:cs="Times New Roman"/>
                <w:i/>
                <w:color w:val="212529"/>
                <w:sz w:val="18"/>
                <w:szCs w:val="18"/>
              </w:rPr>
              <w:t>lösit</w:t>
            </w:r>
            <w:proofErr w:type="spellEnd"/>
            <w:r w:rsidRPr="002A2BEA">
              <w:rPr>
                <w:rFonts w:ascii="Times New Roman" w:eastAsia="Times New Roman" w:hAnsi="Times New Roman" w:cs="Times New Roman"/>
                <w:i/>
                <w:color w:val="212529"/>
                <w:sz w:val="18"/>
                <w:szCs w:val="18"/>
              </w:rPr>
              <w:t xml:space="preserve">; </w:t>
            </w:r>
            <w:proofErr w:type="spellStart"/>
            <w:r w:rsidRPr="002A2BEA">
              <w:rPr>
                <w:rFonts w:ascii="Times New Roman" w:eastAsia="Times New Roman" w:hAnsi="Times New Roman" w:cs="Times New Roman"/>
                <w:i/>
                <w:color w:val="212529"/>
                <w:sz w:val="18"/>
                <w:szCs w:val="18"/>
              </w:rPr>
              <w:t>nefelin</w:t>
            </w:r>
            <w:proofErr w:type="spellEnd"/>
            <w:r w:rsidRPr="002A2BEA">
              <w:rPr>
                <w:rFonts w:ascii="Times New Roman" w:eastAsia="Times New Roman" w:hAnsi="Times New Roman" w:cs="Times New Roman"/>
                <w:i/>
                <w:color w:val="212529"/>
                <w:sz w:val="18"/>
                <w:szCs w:val="18"/>
              </w:rPr>
              <w:t xml:space="preserve"> ve siyenit </w:t>
            </w:r>
            <w:proofErr w:type="spellStart"/>
            <w:r w:rsidRPr="002A2BEA">
              <w:rPr>
                <w:rFonts w:ascii="Times New Roman" w:eastAsia="Times New Roman" w:hAnsi="Times New Roman" w:cs="Times New Roman"/>
                <w:i/>
                <w:color w:val="212529"/>
                <w:sz w:val="18"/>
                <w:szCs w:val="18"/>
              </w:rPr>
              <w:t>nefelin</w:t>
            </w:r>
            <w:proofErr w:type="spellEnd"/>
            <w:r w:rsidRPr="002A2BEA">
              <w:rPr>
                <w:rFonts w:ascii="Times New Roman" w:eastAsia="Times New Roman" w:hAnsi="Times New Roman" w:cs="Times New Roman"/>
                <w:i/>
                <w:color w:val="212529"/>
                <w:sz w:val="18"/>
                <w:szCs w:val="18"/>
              </w:rPr>
              <w:t xml:space="preserve">; </w:t>
            </w:r>
            <w:proofErr w:type="spellStart"/>
            <w:r w:rsidRPr="002A2BEA">
              <w:rPr>
                <w:rFonts w:ascii="Times New Roman" w:eastAsia="Times New Roman" w:hAnsi="Times New Roman" w:cs="Times New Roman"/>
                <w:i/>
                <w:color w:val="212529"/>
                <w:sz w:val="18"/>
                <w:szCs w:val="18"/>
              </w:rPr>
              <w:t>florspat</w:t>
            </w:r>
            <w:proofErr w:type="spellEnd"/>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58.416</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63.213</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74.316</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17,6</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2710</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Petrol yağları ve </w:t>
            </w:r>
            <w:proofErr w:type="spellStart"/>
            <w:r w:rsidRPr="002A2BEA">
              <w:rPr>
                <w:rFonts w:ascii="Times New Roman" w:eastAsia="Times New Roman" w:hAnsi="Times New Roman" w:cs="Times New Roman"/>
                <w:i/>
                <w:color w:val="212529"/>
                <w:sz w:val="18"/>
                <w:szCs w:val="18"/>
              </w:rPr>
              <w:t>bitümenli</w:t>
            </w:r>
            <w:proofErr w:type="spellEnd"/>
            <w:r w:rsidRPr="002A2BEA">
              <w:rPr>
                <w:rFonts w:ascii="Times New Roman" w:eastAsia="Times New Roman" w:hAnsi="Times New Roman" w:cs="Times New Roman"/>
                <w:i/>
                <w:color w:val="212529"/>
                <w:sz w:val="18"/>
                <w:szCs w:val="18"/>
              </w:rPr>
              <w:t xml:space="preserve"> minerallerden elde edilen yağlar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19.113</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14.023</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73.972</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427,5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6110</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Kazak, süveter, hırka, yelek vb. Eşya (örme)</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65.324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64.406</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73.513</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14,1</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362"/>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3920</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Plastikten diğer levha, yaprak, pelikül ve lamlar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51.543</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61.814</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73.468</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18,9</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214"/>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2836</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Karbonat; </w:t>
            </w:r>
            <w:proofErr w:type="spellStart"/>
            <w:r w:rsidRPr="002A2BEA">
              <w:rPr>
                <w:rFonts w:ascii="Times New Roman" w:eastAsia="Times New Roman" w:hAnsi="Times New Roman" w:cs="Times New Roman"/>
                <w:i/>
                <w:color w:val="212529"/>
                <w:sz w:val="18"/>
                <w:szCs w:val="18"/>
              </w:rPr>
              <w:t>peroksikarbonat</w:t>
            </w:r>
            <w:proofErr w:type="spellEnd"/>
            <w:r w:rsidRPr="002A2BEA">
              <w:rPr>
                <w:rFonts w:ascii="Times New Roman" w:eastAsia="Times New Roman" w:hAnsi="Times New Roman" w:cs="Times New Roman"/>
                <w:i/>
                <w:color w:val="212529"/>
                <w:sz w:val="18"/>
                <w:szCs w:val="18"/>
              </w:rPr>
              <w:t xml:space="preserve">; amonyum </w:t>
            </w:r>
            <w:proofErr w:type="spellStart"/>
            <w:r w:rsidRPr="002A2BEA">
              <w:rPr>
                <w:rFonts w:ascii="Times New Roman" w:eastAsia="Times New Roman" w:hAnsi="Times New Roman" w:cs="Times New Roman"/>
                <w:i/>
                <w:color w:val="212529"/>
                <w:sz w:val="18"/>
                <w:szCs w:val="18"/>
              </w:rPr>
              <w:t>karbomat</w:t>
            </w:r>
            <w:proofErr w:type="spellEnd"/>
            <w:r w:rsidRPr="002A2BEA">
              <w:rPr>
                <w:rFonts w:ascii="Times New Roman" w:eastAsia="Times New Roman" w:hAnsi="Times New Roman" w:cs="Times New Roman"/>
                <w:i/>
                <w:color w:val="212529"/>
                <w:sz w:val="18"/>
                <w:szCs w:val="18"/>
              </w:rPr>
              <w:t xml:space="preserve"> içeren ticari amonyum karbonat</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50.234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58.809</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71.983</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22,4</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251"/>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7403</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Arıtılmış bakır, işlenmemiş bakır alaşımları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24.701</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28.070</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71.210</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153,7</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232"/>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8544</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İzole edilmiş tel, kablo; diğer izole edilmiş elektrik iletkenleri; fiber optik k</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66.748</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63.805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69.147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8,4</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6302</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Yatak çarşafı, masa örtüleri, tuvalet, mutfak bezleri</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72.551</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66.449</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65.363</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7219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Paslanmaz çelikten yassı hadde mamulü (600mm den geniş)</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12.428</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44.905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64.958</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44,7</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26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8516</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Elektrikli su ısıtıcıları, </w:t>
            </w:r>
            <w:proofErr w:type="spellStart"/>
            <w:r w:rsidRPr="002A2BEA">
              <w:rPr>
                <w:rFonts w:ascii="Times New Roman" w:eastAsia="Times New Roman" w:hAnsi="Times New Roman" w:cs="Times New Roman"/>
                <w:i/>
                <w:color w:val="212529"/>
                <w:sz w:val="18"/>
                <w:szCs w:val="18"/>
              </w:rPr>
              <w:t>elektrotermik</w:t>
            </w:r>
            <w:proofErr w:type="spellEnd"/>
            <w:r w:rsidRPr="002A2BEA">
              <w:rPr>
                <w:rFonts w:ascii="Times New Roman" w:eastAsia="Times New Roman" w:hAnsi="Times New Roman" w:cs="Times New Roman"/>
                <w:i/>
                <w:color w:val="212529"/>
                <w:sz w:val="18"/>
                <w:szCs w:val="18"/>
              </w:rPr>
              <w:t xml:space="preserve"> cihazlar (şofbenler)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41.614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47.312</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58.846</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24,4</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5509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Sentetik devamsız liften iplik (dikiş hariç) </w:t>
            </w:r>
            <w:r w:rsidRPr="002A2BEA">
              <w:rPr>
                <w:rFonts w:ascii="Times New Roman" w:eastAsia="Times New Roman" w:hAnsi="Times New Roman" w:cs="Times New Roman"/>
                <w:i/>
                <w:color w:val="212529"/>
                <w:sz w:val="18"/>
                <w:szCs w:val="18"/>
              </w:rPr>
              <w:lastRenderedPageBreak/>
              <w:t>(toptan)</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lastRenderedPageBreak/>
              <w:t>39.555</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52.516</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58.177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10,8</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lastRenderedPageBreak/>
              <w:t>6005</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Çözgü tipi örgülü diğer mensucat</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64.015</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58.179</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54.354</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-6,6</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242"/>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7213</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Demir/çelik </w:t>
            </w:r>
            <w:proofErr w:type="spellStart"/>
            <w:r w:rsidRPr="002A2BEA">
              <w:rPr>
                <w:rFonts w:ascii="Times New Roman" w:eastAsia="Times New Roman" w:hAnsi="Times New Roman" w:cs="Times New Roman"/>
                <w:i/>
                <w:color w:val="212529"/>
                <w:sz w:val="18"/>
                <w:szCs w:val="18"/>
              </w:rPr>
              <w:t>filmaşin</w:t>
            </w:r>
            <w:proofErr w:type="spellEnd"/>
            <w:r w:rsidRPr="002A2BEA">
              <w:rPr>
                <w:rFonts w:ascii="Times New Roman" w:eastAsia="Times New Roman" w:hAnsi="Times New Roman" w:cs="Times New Roman"/>
                <w:i/>
                <w:color w:val="212529"/>
                <w:sz w:val="18"/>
                <w:szCs w:val="18"/>
              </w:rPr>
              <w:t xml:space="preserve"> (sıcak haddelenmiş, rulo halinde)</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8.288</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33.576</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53.711</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60,0</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251"/>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7408</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Bakır teller</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39.635</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51.446</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53.016</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3,1</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5209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Pamuk men (dokuma %85 &lt; pamuklu 200g/m2 den fazla)</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63.611</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57.329</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52.521</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-8,4</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r w:rsidR="002A2BEA" w:rsidRPr="002A2BEA" w:rsidTr="002A2BEA">
        <w:trPr>
          <w:trHeight w:val="204"/>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0302</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Balık (taze/soğutulmuş)</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69.525</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57.436</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52.430</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-8,7</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7607</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Alüminyumdan yaprak ve şeritler-kalınlık&lt;0, 2mm</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32.450</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37.802</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49.167</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30,1</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7209</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Demir/çelik yassı mamul, soğuk haddelenmiş kaplanmış </w:t>
            </w:r>
            <w:proofErr w:type="gramStart"/>
            <w:r w:rsidRPr="002A2BEA">
              <w:rPr>
                <w:rFonts w:ascii="Times New Roman" w:eastAsia="Times New Roman" w:hAnsi="Times New Roman" w:cs="Times New Roman"/>
                <w:i/>
                <w:color w:val="212529"/>
                <w:sz w:val="18"/>
                <w:szCs w:val="18"/>
              </w:rPr>
              <w:t>(</w:t>
            </w:r>
            <w:proofErr w:type="gramEnd"/>
            <w:r w:rsidRPr="002A2BEA">
              <w:rPr>
                <w:rFonts w:ascii="Times New Roman" w:eastAsia="Times New Roman" w:hAnsi="Times New Roman" w:cs="Times New Roman"/>
                <w:i/>
                <w:color w:val="212529"/>
                <w:sz w:val="18"/>
                <w:szCs w:val="18"/>
              </w:rPr>
              <w:t>600mm. Den geniş</w:t>
            </w:r>
            <w:proofErr w:type="gramStart"/>
            <w:r w:rsidRPr="002A2BEA">
              <w:rPr>
                <w:rFonts w:ascii="Times New Roman" w:eastAsia="Times New Roman" w:hAnsi="Times New Roman" w:cs="Times New Roman"/>
                <w:i/>
                <w:color w:val="212529"/>
                <w:sz w:val="18"/>
                <w:szCs w:val="18"/>
              </w:rPr>
              <w:t>)</w:t>
            </w:r>
            <w:proofErr w:type="gramEnd"/>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7.554</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66</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46.725</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proofErr w:type="gramStart"/>
            <w:r w:rsidRPr="002A2BEA">
              <w:rPr>
                <w:rFonts w:ascii="Times New Roman" w:eastAsia="Times New Roman" w:hAnsi="Times New Roman" w:cs="Times New Roman"/>
                <w:i/>
                <w:color w:val="212529"/>
                <w:sz w:val="18"/>
                <w:szCs w:val="18"/>
              </w:rPr>
              <w:t>70,695,5</w:t>
            </w:r>
            <w:proofErr w:type="gramEnd"/>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8451</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Dokuma maddelerini yıkama, kurutma, ütüleme makine ve cihazları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23.370</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30.125</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46.531</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54,5</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r w:rsidR="002A2BEA" w:rsidRPr="002A2BEA" w:rsidTr="002A2BEA">
        <w:trPr>
          <w:trHeight w:val="130"/>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8403</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Buhar kazanları dışında kalan merkezi ısıtma kazanları</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26.628</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34.243</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46.461</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35,7</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r w:rsidR="002A2BEA" w:rsidRPr="002A2BEA" w:rsidTr="002A2BEA">
        <w:trPr>
          <w:trHeight w:val="297"/>
        </w:trPr>
        <w:tc>
          <w:tcPr>
            <w:tcW w:w="56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7306</w:t>
            </w:r>
          </w:p>
        </w:tc>
        <w:tc>
          <w:tcPr>
            <w:tcW w:w="29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Demir/çelikten diğer tüpler, borular, içi boş </w:t>
            </w:r>
            <w:proofErr w:type="gramStart"/>
            <w:r w:rsidRPr="002A2BEA">
              <w:rPr>
                <w:rFonts w:ascii="Times New Roman" w:eastAsia="Times New Roman" w:hAnsi="Times New Roman" w:cs="Times New Roman"/>
                <w:i/>
                <w:color w:val="212529"/>
                <w:sz w:val="18"/>
                <w:szCs w:val="18"/>
              </w:rPr>
              <w:t>profiller</w:t>
            </w:r>
            <w:proofErr w:type="gramEnd"/>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24.249</w:t>
            </w:r>
          </w:p>
        </w:tc>
        <w:tc>
          <w:tcPr>
            <w:tcW w:w="98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37.882</w:t>
            </w:r>
          </w:p>
        </w:tc>
        <w:tc>
          <w:tcPr>
            <w:tcW w:w="975"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45.748</w:t>
            </w:r>
          </w:p>
        </w:tc>
        <w:tc>
          <w:tcPr>
            <w:tcW w:w="82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20,8</w:t>
            </w:r>
          </w:p>
        </w:tc>
        <w:tc>
          <w:tcPr>
            <w:tcW w:w="539"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0,5</w:t>
            </w:r>
          </w:p>
        </w:tc>
      </w:tr>
    </w:tbl>
    <w:p w:rsidR="002A2BEA" w:rsidRDefault="002A2BEA" w:rsidP="002A2BEA">
      <w:pPr>
        <w:spacing w:after="100" w:afterAutospacing="1" w:line="240" w:lineRule="auto"/>
        <w:jc w:val="both"/>
        <w:rPr>
          <w:rFonts w:ascii="Times New Roman" w:eastAsia="Times New Roman" w:hAnsi="Times New Roman" w:cs="Times New Roman"/>
          <w:i/>
          <w:iCs/>
          <w:color w:val="212529"/>
          <w:sz w:val="18"/>
          <w:szCs w:val="18"/>
        </w:rPr>
      </w:pPr>
      <w:proofErr w:type="gramStart"/>
      <w:r w:rsidRPr="002A2BEA">
        <w:rPr>
          <w:rFonts w:ascii="Times New Roman" w:eastAsia="Times New Roman" w:hAnsi="Times New Roman" w:cs="Times New Roman"/>
          <w:i/>
          <w:iCs/>
          <w:color w:val="212529"/>
          <w:sz w:val="18"/>
          <w:szCs w:val="18"/>
        </w:rPr>
        <w:t>Kaynak:ITC</w:t>
      </w:r>
      <w:proofErr w:type="gramEnd"/>
      <w:r w:rsidRPr="002A2BEA">
        <w:rPr>
          <w:rFonts w:ascii="Times New Roman" w:eastAsia="Times New Roman" w:hAnsi="Times New Roman" w:cs="Times New Roman"/>
          <w:i/>
          <w:iCs/>
          <w:color w:val="212529"/>
          <w:sz w:val="18"/>
          <w:szCs w:val="18"/>
        </w:rPr>
        <w:t>-</w:t>
      </w:r>
      <w:proofErr w:type="spellStart"/>
      <w:r w:rsidRPr="002A2BEA">
        <w:rPr>
          <w:rFonts w:ascii="Times New Roman" w:eastAsia="Times New Roman" w:hAnsi="Times New Roman" w:cs="Times New Roman"/>
          <w:i/>
          <w:iCs/>
          <w:color w:val="212529"/>
          <w:sz w:val="18"/>
          <w:szCs w:val="18"/>
        </w:rPr>
        <w:t>TradeMap</w:t>
      </w:r>
      <w:proofErr w:type="spellEnd"/>
    </w:p>
    <w:p w:rsidR="002A2BEA" w:rsidRPr="00C45CDD" w:rsidRDefault="002A2BEA" w:rsidP="002A2BEA">
      <w:pPr>
        <w:spacing w:after="100" w:afterAutospacing="1" w:line="240" w:lineRule="auto"/>
        <w:jc w:val="both"/>
        <w:rPr>
          <w:rStyle w:val="Gl"/>
          <w:rFonts w:ascii="Times New Roman" w:eastAsia="Times New Roman" w:hAnsi="Times New Roman" w:cs="Times New Roman"/>
          <w:b w:val="0"/>
          <w:bCs w:val="0"/>
          <w:i/>
          <w:iCs/>
          <w:color w:val="212529"/>
          <w:sz w:val="18"/>
          <w:szCs w:val="18"/>
          <w:u w:val="single"/>
        </w:rPr>
      </w:pPr>
      <w:r w:rsidRPr="002A2BEA">
        <w:rPr>
          <w:rFonts w:ascii="Times New Roman" w:eastAsia="Times New Roman" w:hAnsi="Times New Roman" w:cs="Times New Roman"/>
          <w:i/>
          <w:color w:val="212529"/>
          <w:sz w:val="20"/>
          <w:szCs w:val="20"/>
        </w:rPr>
        <w:t> </w:t>
      </w:r>
      <w:r w:rsidRPr="00C45CDD">
        <w:rPr>
          <w:rStyle w:val="Gl"/>
          <w:rFonts w:ascii="Times New Roman" w:hAnsi="Times New Roman" w:cs="Times New Roman"/>
          <w:i/>
          <w:color w:val="212529"/>
          <w:sz w:val="20"/>
          <w:szCs w:val="20"/>
          <w:u w:val="single"/>
          <w:shd w:val="clear" w:color="auto" w:fill="FFFFFF"/>
        </w:rPr>
        <w:t>Türkiye’nin İtalya’dan İthalatında Başlıca Ürünler (1 000 $)</w:t>
      </w:r>
    </w:p>
    <w:tbl>
      <w:tblPr>
        <w:tblW w:w="5000" w:type="pct"/>
        <w:tblCellMar>
          <w:left w:w="0" w:type="dxa"/>
          <w:right w:w="0" w:type="dxa"/>
        </w:tblCellMar>
        <w:tblLook w:val="04A0"/>
      </w:tblPr>
      <w:tblGrid>
        <w:gridCol w:w="670"/>
        <w:gridCol w:w="3270"/>
        <w:gridCol w:w="1217"/>
        <w:gridCol w:w="1217"/>
        <w:gridCol w:w="1217"/>
        <w:gridCol w:w="977"/>
        <w:gridCol w:w="644"/>
      </w:tblGrid>
      <w:tr w:rsidR="002A2BEA" w:rsidRPr="002A2BEA" w:rsidTr="002A2BEA">
        <w:trPr>
          <w:trHeight w:val="195"/>
        </w:trPr>
        <w:tc>
          <w:tcPr>
            <w:tcW w:w="67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GTİP NO</w:t>
            </w:r>
          </w:p>
        </w:tc>
        <w:tc>
          <w:tcPr>
            <w:tcW w:w="32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GTİP TANIMI</w:t>
            </w:r>
          </w:p>
        </w:tc>
        <w:tc>
          <w:tcPr>
            <w:tcW w:w="12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2016</w:t>
            </w:r>
          </w:p>
        </w:tc>
        <w:tc>
          <w:tcPr>
            <w:tcW w:w="12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2017</w:t>
            </w:r>
          </w:p>
        </w:tc>
        <w:tc>
          <w:tcPr>
            <w:tcW w:w="121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2018</w:t>
            </w:r>
          </w:p>
        </w:tc>
        <w:tc>
          <w:tcPr>
            <w:tcW w:w="977"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2017-2018 Değişim</w:t>
            </w:r>
            <w:r w:rsidRPr="002A2BEA">
              <w:rPr>
                <w:rFonts w:ascii="Times New Roman" w:eastAsia="Times New Roman" w:hAnsi="Times New Roman" w:cs="Times New Roman"/>
                <w:i/>
                <w:color w:val="212529"/>
                <w:sz w:val="18"/>
                <w:szCs w:val="18"/>
              </w:rPr>
              <w:br/>
            </w:r>
            <w:r w:rsidRPr="002A2BEA">
              <w:rPr>
                <w:rFonts w:ascii="Times New Roman" w:eastAsia="Times New Roman" w:hAnsi="Times New Roman" w:cs="Times New Roman"/>
                <w:b/>
                <w:bCs/>
                <w:i/>
                <w:color w:val="212529"/>
                <w:sz w:val="18"/>
                <w:szCs w:val="18"/>
              </w:rPr>
              <w:t>%</w:t>
            </w:r>
          </w:p>
        </w:tc>
        <w:tc>
          <w:tcPr>
            <w:tcW w:w="64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2018</w:t>
            </w:r>
            <w:r w:rsidRPr="002A2BEA">
              <w:rPr>
                <w:rFonts w:ascii="Times New Roman" w:eastAsia="Times New Roman" w:hAnsi="Times New Roman" w:cs="Times New Roman"/>
                <w:i/>
                <w:color w:val="212529"/>
                <w:sz w:val="18"/>
                <w:szCs w:val="18"/>
              </w:rPr>
              <w:br/>
            </w:r>
            <w:r w:rsidRPr="002A2BEA">
              <w:rPr>
                <w:rFonts w:ascii="Times New Roman" w:eastAsia="Times New Roman" w:hAnsi="Times New Roman" w:cs="Times New Roman"/>
                <w:b/>
                <w:bCs/>
                <w:i/>
                <w:color w:val="212529"/>
                <w:sz w:val="18"/>
                <w:szCs w:val="18"/>
              </w:rPr>
              <w:t>Pay</w:t>
            </w:r>
            <w:r w:rsidRPr="002A2BEA">
              <w:rPr>
                <w:rFonts w:ascii="Times New Roman" w:eastAsia="Times New Roman" w:hAnsi="Times New Roman" w:cs="Times New Roman"/>
                <w:i/>
                <w:color w:val="212529"/>
                <w:sz w:val="18"/>
                <w:szCs w:val="18"/>
              </w:rPr>
              <w:br/>
            </w:r>
            <w:r w:rsidRPr="002A2BEA">
              <w:rPr>
                <w:rFonts w:ascii="Times New Roman" w:eastAsia="Times New Roman" w:hAnsi="Times New Roman" w:cs="Times New Roman"/>
                <w:b/>
                <w:bCs/>
                <w:i/>
                <w:color w:val="212529"/>
                <w:sz w:val="18"/>
                <w:szCs w:val="18"/>
              </w:rPr>
              <w:t>%</w:t>
            </w:r>
          </w:p>
        </w:tc>
      </w:tr>
      <w:tr w:rsidR="002A2BEA" w:rsidRPr="002A2BEA" w:rsidTr="002A2BEA">
        <w:trPr>
          <w:trHeight w:val="195"/>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Genel Toplam</w:t>
            </w:r>
          </w:p>
        </w:tc>
        <w:tc>
          <w:tcPr>
            <w:tcW w:w="12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10.220.108</w:t>
            </w:r>
          </w:p>
        </w:tc>
        <w:tc>
          <w:tcPr>
            <w:tcW w:w="12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11.306.054</w:t>
            </w:r>
          </w:p>
        </w:tc>
        <w:tc>
          <w:tcPr>
            <w:tcW w:w="121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10.156.024</w:t>
            </w:r>
          </w:p>
        </w:tc>
        <w:tc>
          <w:tcPr>
            <w:tcW w:w="97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-10,2</w:t>
            </w:r>
          </w:p>
        </w:tc>
        <w:tc>
          <w:tcPr>
            <w:tcW w:w="64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100,0</w:t>
            </w:r>
          </w:p>
        </w:tc>
      </w:tr>
      <w:tr w:rsidR="002A2BEA" w:rsidRPr="002A2BEA" w:rsidTr="002A2BEA">
        <w:trPr>
          <w:trHeight w:val="334"/>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2710</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Petrol yağları ve </w:t>
            </w:r>
            <w:proofErr w:type="spellStart"/>
            <w:r w:rsidRPr="002A2BEA">
              <w:rPr>
                <w:rFonts w:ascii="Times New Roman" w:eastAsia="Times New Roman" w:hAnsi="Times New Roman" w:cs="Times New Roman"/>
                <w:i/>
                <w:color w:val="212529"/>
                <w:sz w:val="18"/>
                <w:szCs w:val="18"/>
              </w:rPr>
              <w:t>bitümenli</w:t>
            </w:r>
            <w:proofErr w:type="spellEnd"/>
            <w:r w:rsidRPr="002A2BEA">
              <w:rPr>
                <w:rFonts w:ascii="Times New Roman" w:eastAsia="Times New Roman" w:hAnsi="Times New Roman" w:cs="Times New Roman"/>
                <w:i/>
                <w:color w:val="212529"/>
                <w:sz w:val="18"/>
                <w:szCs w:val="18"/>
              </w:rPr>
              <w:t xml:space="preserve"> minerallerden elde edilen yağlar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385.750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600.102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612.043</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2,0</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6,0</w:t>
            </w:r>
          </w:p>
        </w:tc>
      </w:tr>
      <w:tr w:rsidR="002A2BEA" w:rsidRPr="002A2BEA" w:rsidTr="002A2BEA">
        <w:trPr>
          <w:trHeight w:val="418"/>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8708</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Kara taşıtları için aksam, parçaları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576.880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605.777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524.896</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-13,4</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w:t>
            </w:r>
          </w:p>
        </w:tc>
      </w:tr>
      <w:tr w:rsidR="002A2BEA" w:rsidRPr="002A2BEA" w:rsidTr="002A2BEA">
        <w:trPr>
          <w:trHeight w:val="344"/>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8408</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Dizel, yarı dizel motorlar (hava basıncı ile ateşlenen, pistonlu)</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316.809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317.304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270.341</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-14,8</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2,7</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7113</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Kıymetli metaller ve kaplamalarından mücevherci eşyası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200.327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254.401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261.440</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2,8</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2,6</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8803</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Balon, hava gemisi, planör vb. Diğer hava taşıtlarının aksam ve parçaları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101.862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195.245</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230.257</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17,9</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2,3</w:t>
            </w:r>
          </w:p>
        </w:tc>
      </w:tr>
      <w:tr w:rsidR="002A2BEA" w:rsidRPr="002A2BEA" w:rsidTr="002A2BEA">
        <w:trPr>
          <w:trHeight w:val="539"/>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3004</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Tedavide/korunmada kullanılmak üzere hazırlanan ilaçlar (</w:t>
            </w:r>
            <w:proofErr w:type="spellStart"/>
            <w:r w:rsidRPr="002A2BEA">
              <w:rPr>
                <w:rFonts w:ascii="Times New Roman" w:eastAsia="Times New Roman" w:hAnsi="Times New Roman" w:cs="Times New Roman"/>
                <w:i/>
                <w:color w:val="212529"/>
                <w:sz w:val="18"/>
                <w:szCs w:val="18"/>
              </w:rPr>
              <w:t>dozlandırılmış</w:t>
            </w:r>
            <w:proofErr w:type="spellEnd"/>
            <w:r w:rsidRPr="002A2BEA">
              <w:rPr>
                <w:rFonts w:ascii="Times New Roman" w:eastAsia="Times New Roman" w:hAnsi="Times New Roman" w:cs="Times New Roman"/>
                <w:i/>
                <w:color w:val="212529"/>
                <w:sz w:val="18"/>
                <w:szCs w:val="18"/>
              </w:rPr>
              <w:t>)</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212.518</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213.097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223.524</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4,9</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2,2</w:t>
            </w:r>
          </w:p>
        </w:tc>
      </w:tr>
      <w:tr w:rsidR="002A2BEA" w:rsidRPr="002A2BEA" w:rsidTr="002A2BEA">
        <w:trPr>
          <w:trHeight w:val="362"/>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8481</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Muslukçu, borucu eşyası-basınç düşürücü, </w:t>
            </w:r>
            <w:proofErr w:type="spellStart"/>
            <w:r w:rsidRPr="002A2BEA">
              <w:rPr>
                <w:rFonts w:ascii="Times New Roman" w:eastAsia="Times New Roman" w:hAnsi="Times New Roman" w:cs="Times New Roman"/>
                <w:i/>
                <w:color w:val="212529"/>
                <w:sz w:val="18"/>
                <w:szCs w:val="18"/>
              </w:rPr>
              <w:t>termostatik</w:t>
            </w:r>
            <w:proofErr w:type="spellEnd"/>
            <w:r w:rsidRPr="002A2BEA">
              <w:rPr>
                <w:rFonts w:ascii="Times New Roman" w:eastAsia="Times New Roman" w:hAnsi="Times New Roman" w:cs="Times New Roman"/>
                <w:i/>
                <w:color w:val="212529"/>
                <w:sz w:val="18"/>
                <w:szCs w:val="18"/>
              </w:rPr>
              <w:t xml:space="preserve"> valf </w:t>
            </w:r>
            <w:proofErr w:type="gramStart"/>
            <w:r w:rsidRPr="002A2BEA">
              <w:rPr>
                <w:rFonts w:ascii="Times New Roman" w:eastAsia="Times New Roman" w:hAnsi="Times New Roman" w:cs="Times New Roman"/>
                <w:i/>
                <w:color w:val="212529"/>
                <w:sz w:val="18"/>
                <w:szCs w:val="18"/>
              </w:rPr>
              <w:t>dahil</w:t>
            </w:r>
            <w:proofErr w:type="gramEnd"/>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248.792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257.459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206.336</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-19,9</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2,0</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8479</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Kendine özgü fonksiyonlu makine ve cihazlar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217.524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173.677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183.868</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5,9</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1,8</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8903</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Yatlar, diğer eğlence ve spor teknesi; kürekli kayık, kano</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1.462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491.054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174.968</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-64,4</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8422</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Yıkama, temizleme, kurutma, doldurma vb. İşler için makine, cihaz</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179.472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197.980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167.572</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-15,4</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w:t>
            </w:r>
          </w:p>
        </w:tc>
      </w:tr>
      <w:tr w:rsidR="002A2BEA" w:rsidRPr="002A2BEA" w:rsidTr="002A2BEA">
        <w:trPr>
          <w:trHeight w:val="362"/>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8407</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Alternatif-rotatif kıvılcım ateşlemeli, içten yanmalı motorlar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99.959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130.553</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153.086</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17,3</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1,5</w:t>
            </w:r>
          </w:p>
        </w:tc>
      </w:tr>
      <w:tr w:rsidR="002A2BEA" w:rsidRPr="002A2BEA" w:rsidTr="002A2BEA">
        <w:trPr>
          <w:trHeight w:val="111"/>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8419</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Isı değişikliği yöntemi ile maddeleri işlemek için cihazlar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168.965</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122.950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109.975</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-10,6</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111"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w:t>
            </w:r>
          </w:p>
        </w:tc>
      </w:tr>
      <w:tr w:rsidR="002A2BEA" w:rsidRPr="002A2BEA" w:rsidTr="002A2BEA">
        <w:trPr>
          <w:trHeight w:val="26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8413</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Sıvılar için pompalar, sıvı </w:t>
            </w:r>
            <w:proofErr w:type="spellStart"/>
            <w:r w:rsidRPr="002A2BEA">
              <w:rPr>
                <w:rFonts w:ascii="Times New Roman" w:eastAsia="Times New Roman" w:hAnsi="Times New Roman" w:cs="Times New Roman"/>
                <w:i/>
                <w:color w:val="212529"/>
                <w:sz w:val="18"/>
                <w:szCs w:val="18"/>
              </w:rPr>
              <w:t>elevatörleri</w:t>
            </w:r>
            <w:proofErr w:type="spellEnd"/>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105.187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112.724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109.099</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-3,2</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8704</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Eşya taşımaya mahsus motorlu taşıtlar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219.793</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193.733</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91.387</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-52,8</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195"/>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3901</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Etilen polimerleri (ilk şekillerde)</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76.522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91.329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90.378</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37"/>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8536</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Gerilimi 1000 voltu geçmeyen elektrik devresi teçhizatı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105.942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111.636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89.692</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-19,7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37" w:lineRule="atLeast"/>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195"/>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8483</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Transmisyon milleri, kranklar, yatak kovanları, dişliler, çarklar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83.749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87.485</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88.511</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195"/>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8474</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Toprak, taş, metal cevheri vb. Ayıklama, eleme vb. İçin makineler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67.460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74.186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86.596</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0,9</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3907</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proofErr w:type="spellStart"/>
            <w:r w:rsidRPr="002A2BEA">
              <w:rPr>
                <w:rFonts w:ascii="Times New Roman" w:eastAsia="Times New Roman" w:hAnsi="Times New Roman" w:cs="Times New Roman"/>
                <w:i/>
                <w:color w:val="212529"/>
                <w:sz w:val="18"/>
                <w:szCs w:val="18"/>
              </w:rPr>
              <w:t>Poliasetaller</w:t>
            </w:r>
            <w:proofErr w:type="spellEnd"/>
            <w:r w:rsidRPr="002A2BEA">
              <w:rPr>
                <w:rFonts w:ascii="Times New Roman" w:eastAsia="Times New Roman" w:hAnsi="Times New Roman" w:cs="Times New Roman"/>
                <w:i/>
                <w:color w:val="212529"/>
                <w:sz w:val="18"/>
                <w:szCs w:val="18"/>
              </w:rPr>
              <w:t xml:space="preserve">, diğer </w:t>
            </w:r>
            <w:proofErr w:type="spellStart"/>
            <w:r w:rsidRPr="002A2BEA">
              <w:rPr>
                <w:rFonts w:ascii="Times New Roman" w:eastAsia="Times New Roman" w:hAnsi="Times New Roman" w:cs="Times New Roman"/>
                <w:i/>
                <w:color w:val="212529"/>
                <w:sz w:val="18"/>
                <w:szCs w:val="18"/>
              </w:rPr>
              <w:t>polieterler</w:t>
            </w:r>
            <w:proofErr w:type="spellEnd"/>
            <w:r w:rsidRPr="002A2BEA">
              <w:rPr>
                <w:rFonts w:ascii="Times New Roman" w:eastAsia="Times New Roman" w:hAnsi="Times New Roman" w:cs="Times New Roman"/>
                <w:i/>
                <w:color w:val="212529"/>
                <w:sz w:val="18"/>
                <w:szCs w:val="18"/>
              </w:rPr>
              <w:t xml:space="preserve">, </w:t>
            </w:r>
            <w:proofErr w:type="spellStart"/>
            <w:r w:rsidRPr="002A2BEA">
              <w:rPr>
                <w:rFonts w:ascii="Times New Roman" w:eastAsia="Times New Roman" w:hAnsi="Times New Roman" w:cs="Times New Roman"/>
                <w:i/>
                <w:color w:val="212529"/>
                <w:sz w:val="18"/>
                <w:szCs w:val="18"/>
              </w:rPr>
              <w:t>epoksit</w:t>
            </w:r>
            <w:proofErr w:type="spellEnd"/>
            <w:r w:rsidRPr="002A2BEA">
              <w:rPr>
                <w:rFonts w:ascii="Times New Roman" w:eastAsia="Times New Roman" w:hAnsi="Times New Roman" w:cs="Times New Roman"/>
                <w:i/>
                <w:color w:val="212529"/>
                <w:sz w:val="18"/>
                <w:szCs w:val="18"/>
              </w:rPr>
              <w:t>-</w:t>
            </w:r>
            <w:proofErr w:type="spellStart"/>
            <w:r w:rsidRPr="002A2BEA">
              <w:rPr>
                <w:rFonts w:ascii="Times New Roman" w:eastAsia="Times New Roman" w:hAnsi="Times New Roman" w:cs="Times New Roman"/>
                <w:i/>
                <w:color w:val="212529"/>
                <w:sz w:val="18"/>
                <w:szCs w:val="18"/>
              </w:rPr>
              <w:t>alkid</w:t>
            </w:r>
            <w:proofErr w:type="spellEnd"/>
            <w:r w:rsidRPr="002A2BEA">
              <w:rPr>
                <w:rFonts w:ascii="Times New Roman" w:eastAsia="Times New Roman" w:hAnsi="Times New Roman" w:cs="Times New Roman"/>
                <w:i/>
                <w:color w:val="212529"/>
                <w:sz w:val="18"/>
                <w:szCs w:val="18"/>
              </w:rPr>
              <w:t xml:space="preserve"> reçineler vb (ilk şekilde)</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82.621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90.907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81.114</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-10,8</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232"/>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3909</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proofErr w:type="gramStart"/>
            <w:r w:rsidRPr="002A2BEA">
              <w:rPr>
                <w:rFonts w:ascii="Times New Roman" w:eastAsia="Times New Roman" w:hAnsi="Times New Roman" w:cs="Times New Roman"/>
                <w:i/>
                <w:color w:val="212529"/>
                <w:sz w:val="18"/>
                <w:szCs w:val="18"/>
              </w:rPr>
              <w:t>Amino</w:t>
            </w:r>
            <w:proofErr w:type="gramEnd"/>
            <w:r w:rsidRPr="002A2BEA">
              <w:rPr>
                <w:rFonts w:ascii="Times New Roman" w:eastAsia="Times New Roman" w:hAnsi="Times New Roman" w:cs="Times New Roman"/>
                <w:i/>
                <w:color w:val="212529"/>
                <w:sz w:val="18"/>
                <w:szCs w:val="18"/>
              </w:rPr>
              <w:t xml:space="preserve"> reçineler, </w:t>
            </w:r>
            <w:proofErr w:type="spellStart"/>
            <w:r w:rsidRPr="002A2BEA">
              <w:rPr>
                <w:rFonts w:ascii="Times New Roman" w:eastAsia="Times New Roman" w:hAnsi="Times New Roman" w:cs="Times New Roman"/>
                <w:i/>
                <w:color w:val="212529"/>
                <w:sz w:val="18"/>
                <w:szCs w:val="18"/>
              </w:rPr>
              <w:t>fenolik</w:t>
            </w:r>
            <w:proofErr w:type="spellEnd"/>
            <w:r w:rsidRPr="002A2BEA">
              <w:rPr>
                <w:rFonts w:ascii="Times New Roman" w:eastAsia="Times New Roman" w:hAnsi="Times New Roman" w:cs="Times New Roman"/>
                <w:i/>
                <w:color w:val="212529"/>
                <w:sz w:val="18"/>
                <w:szCs w:val="18"/>
              </w:rPr>
              <w:t xml:space="preserve"> reçineler, </w:t>
            </w:r>
            <w:r w:rsidRPr="002A2BEA">
              <w:rPr>
                <w:rFonts w:ascii="Times New Roman" w:eastAsia="Times New Roman" w:hAnsi="Times New Roman" w:cs="Times New Roman"/>
                <w:i/>
                <w:color w:val="212529"/>
                <w:sz w:val="18"/>
                <w:szCs w:val="18"/>
              </w:rPr>
              <w:lastRenderedPageBreak/>
              <w:t>poliüretanlar (ilk şekilde)</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lastRenderedPageBreak/>
              <w:t>68.922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73.819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80.987</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lastRenderedPageBreak/>
              <w:t>3920</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Plastikten diğer levha, yaprak, pelikül ve lamlar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78.574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90.111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77.775</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-13,7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8477</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Kauçuk, plastik eşya imal ve işleme makine ve cihazları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107.718</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89.467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76.425</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-14,6</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0,8</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3902</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proofErr w:type="spellStart"/>
            <w:r w:rsidRPr="002A2BEA">
              <w:rPr>
                <w:rFonts w:ascii="Times New Roman" w:eastAsia="Times New Roman" w:hAnsi="Times New Roman" w:cs="Times New Roman"/>
                <w:i/>
                <w:color w:val="212529"/>
                <w:sz w:val="18"/>
                <w:szCs w:val="18"/>
              </w:rPr>
              <w:t>Propilen</w:t>
            </w:r>
            <w:proofErr w:type="spellEnd"/>
            <w:r w:rsidRPr="002A2BEA">
              <w:rPr>
                <w:rFonts w:ascii="Times New Roman" w:eastAsia="Times New Roman" w:hAnsi="Times New Roman" w:cs="Times New Roman"/>
                <w:i/>
                <w:color w:val="212529"/>
                <w:sz w:val="18"/>
                <w:szCs w:val="18"/>
              </w:rPr>
              <w:t xml:space="preserve"> ve diğer olefinlerin polimerleri (ilk şekillerde)</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72.331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79.257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75.939</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-4,2</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7219</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Paslanmaz çelikten yassı hadde mamulü (600mm den geniş)</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46.978</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54.455</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72.463</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33,1</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26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6403</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Ayakkabı; yüzü deri, tabanı kauçuk, plastik, tabii, suni vb kösele</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75.939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73.192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72.042</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-1,6</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8421</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Santrifüjle çalışan kurutma, filtre, arıtma cihazları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65.326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68.688</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72.006</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4,8</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7306</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Demir/çelikten diğer tüpler, borular, içi boş </w:t>
            </w:r>
            <w:proofErr w:type="gramStart"/>
            <w:r w:rsidRPr="002A2BEA">
              <w:rPr>
                <w:rFonts w:ascii="Times New Roman" w:eastAsia="Times New Roman" w:hAnsi="Times New Roman" w:cs="Times New Roman"/>
                <w:i/>
                <w:color w:val="212529"/>
                <w:sz w:val="18"/>
                <w:szCs w:val="18"/>
              </w:rPr>
              <w:t>profiller</w:t>
            </w:r>
            <w:proofErr w:type="gramEnd"/>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62.763</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73.417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68.322</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-6,9</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232"/>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8501</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Elektrik motorları, jeneratörler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83.871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82.359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67.810</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-17,7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8414</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Hava-vakum pompası, hava/gaz kompresörü, vantilatör, aspiratör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91.827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93.814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67.294</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-28,3</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8445</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Lifleri hazırlayan, iplik üreten-hazırlayan makineler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41.016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45.942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66.831</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45,5</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0,7</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8428</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Kaldırma, istifleme, yükleme, boşaltma makine ve cihazları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72.145</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75.259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65.965</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-12,3</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3824</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Kimya ve bağlı sanayide kullanılan kimyasal ürünler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57.470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69.044</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63.039</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-8,7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26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3402</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Yıkama, temizleme müstahzarları-sabunlar hariç</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49.619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59.846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62.349</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4,2</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381"/>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8447</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Örgü </w:t>
            </w:r>
            <w:proofErr w:type="gramStart"/>
            <w:r w:rsidRPr="002A2BEA">
              <w:rPr>
                <w:rFonts w:ascii="Times New Roman" w:eastAsia="Times New Roman" w:hAnsi="Times New Roman" w:cs="Times New Roman"/>
                <w:i/>
                <w:color w:val="212529"/>
                <w:sz w:val="18"/>
                <w:szCs w:val="18"/>
              </w:rPr>
              <w:t>tezgahları</w:t>
            </w:r>
            <w:proofErr w:type="gramEnd"/>
            <w:r w:rsidRPr="002A2BEA">
              <w:rPr>
                <w:rFonts w:ascii="Times New Roman" w:eastAsia="Times New Roman" w:hAnsi="Times New Roman" w:cs="Times New Roman"/>
                <w:i/>
                <w:color w:val="212529"/>
                <w:sz w:val="18"/>
                <w:szCs w:val="18"/>
              </w:rPr>
              <w:t>, gipür, tül, dantela, file imali makine, cihazları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27.221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51.012</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61.850</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21,2</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3208</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Sentetik polimerler esaslı; susuz ortamda eriyen/dağılan, boya ve vernik</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55.570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63.646</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61.303</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7210</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 xml:space="preserve">Demir/çelik yassı mamul, kaplı, sıvanmış </w:t>
            </w:r>
            <w:proofErr w:type="gramStart"/>
            <w:r w:rsidRPr="002A2BEA">
              <w:rPr>
                <w:rFonts w:ascii="Times New Roman" w:eastAsia="Times New Roman" w:hAnsi="Times New Roman" w:cs="Times New Roman"/>
                <w:i/>
                <w:color w:val="212529"/>
                <w:sz w:val="18"/>
                <w:szCs w:val="18"/>
              </w:rPr>
              <w:t>(</w:t>
            </w:r>
            <w:proofErr w:type="gramEnd"/>
            <w:r w:rsidRPr="002A2BEA">
              <w:rPr>
                <w:rFonts w:ascii="Times New Roman" w:eastAsia="Times New Roman" w:hAnsi="Times New Roman" w:cs="Times New Roman"/>
                <w:i/>
                <w:color w:val="212529"/>
                <w:sz w:val="18"/>
                <w:szCs w:val="18"/>
              </w:rPr>
              <w:t>600mm. Den geniş</w:t>
            </w:r>
            <w:proofErr w:type="gramStart"/>
            <w:r w:rsidRPr="002A2BEA">
              <w:rPr>
                <w:rFonts w:ascii="Times New Roman" w:eastAsia="Times New Roman" w:hAnsi="Times New Roman" w:cs="Times New Roman"/>
                <w:i/>
                <w:color w:val="212529"/>
                <w:sz w:val="18"/>
                <w:szCs w:val="18"/>
              </w:rPr>
              <w:t>)</w:t>
            </w:r>
            <w:proofErr w:type="gramEnd"/>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120.968</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94.537</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61.192</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-35,3</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13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2106</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Tarifenin başka yerinde yer almayan gıda müstahzarları</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54.961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61.340</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59.325</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-3,3</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26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5112</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Taranmış yünden, ince hayvan kılından dokumalar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52.381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54.039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58.981</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9,1</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r w:rsidR="002A2BEA" w:rsidRPr="002A2BEA" w:rsidTr="002A2BEA">
        <w:trPr>
          <w:trHeight w:val="260"/>
        </w:trPr>
        <w:tc>
          <w:tcPr>
            <w:tcW w:w="67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b/>
                <w:bCs/>
                <w:i/>
                <w:color w:val="212529"/>
                <w:sz w:val="18"/>
                <w:szCs w:val="18"/>
              </w:rPr>
              <w:t>3002</w:t>
            </w:r>
          </w:p>
        </w:tc>
        <w:tc>
          <w:tcPr>
            <w:tcW w:w="32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İnsan ve hayvan kanı, serum, aşı, toksin vb. Ürünler</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45.309</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51.371</w:t>
            </w:r>
          </w:p>
        </w:tc>
        <w:tc>
          <w:tcPr>
            <w:tcW w:w="121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57.886</w:t>
            </w:r>
          </w:p>
        </w:tc>
        <w:tc>
          <w:tcPr>
            <w:tcW w:w="977"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12,7</w:t>
            </w:r>
          </w:p>
        </w:tc>
        <w:tc>
          <w:tcPr>
            <w:tcW w:w="64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2A2BEA" w:rsidRPr="002A2BEA" w:rsidRDefault="002A2BEA" w:rsidP="002A2BEA">
            <w:pPr>
              <w:spacing w:after="0" w:line="240" w:lineRule="auto"/>
              <w:jc w:val="both"/>
              <w:rPr>
                <w:rFonts w:ascii="Times New Roman" w:eastAsia="Times New Roman" w:hAnsi="Times New Roman" w:cs="Times New Roman"/>
                <w:i/>
                <w:color w:val="212529"/>
                <w:sz w:val="18"/>
                <w:szCs w:val="18"/>
              </w:rPr>
            </w:pPr>
            <w:r w:rsidRPr="002A2BEA">
              <w:rPr>
                <w:rFonts w:ascii="Times New Roman" w:eastAsia="Times New Roman" w:hAnsi="Times New Roman" w:cs="Times New Roman"/>
                <w:i/>
                <w:color w:val="212529"/>
                <w:sz w:val="18"/>
                <w:szCs w:val="18"/>
              </w:rPr>
              <w:t>0,6</w:t>
            </w:r>
          </w:p>
        </w:tc>
      </w:tr>
    </w:tbl>
    <w:p w:rsidR="002A2BEA" w:rsidRDefault="002A2BEA" w:rsidP="002A2BEA">
      <w:pPr>
        <w:spacing w:after="100" w:afterAutospacing="1" w:line="240" w:lineRule="auto"/>
        <w:jc w:val="both"/>
        <w:rPr>
          <w:rStyle w:val="Gl"/>
          <w:rFonts w:ascii="Times New Roman" w:eastAsia="Times New Roman" w:hAnsi="Times New Roman" w:cs="Times New Roman"/>
          <w:b w:val="0"/>
          <w:bCs w:val="0"/>
          <w:i/>
          <w:color w:val="212529"/>
          <w:sz w:val="18"/>
          <w:szCs w:val="18"/>
        </w:rPr>
      </w:pPr>
    </w:p>
    <w:p w:rsidR="002A2BEA" w:rsidRPr="00C45CDD" w:rsidRDefault="002A2BEA" w:rsidP="002A2BEA">
      <w:pPr>
        <w:spacing w:after="100" w:afterAutospacing="1" w:line="240" w:lineRule="auto"/>
        <w:jc w:val="both"/>
        <w:rPr>
          <w:rStyle w:val="Gl"/>
          <w:rFonts w:ascii="Times New Roman" w:hAnsi="Times New Roman" w:cs="Times New Roman"/>
          <w:i/>
          <w:color w:val="212529"/>
          <w:sz w:val="20"/>
          <w:szCs w:val="20"/>
          <w:u w:val="single"/>
          <w:shd w:val="clear" w:color="auto" w:fill="FFFFFF"/>
        </w:rPr>
      </w:pPr>
      <w:r>
        <w:rPr>
          <w:rFonts w:ascii="Arial" w:hAnsi="Arial" w:cs="Arial"/>
          <w:color w:val="212529"/>
          <w:sz w:val="15"/>
          <w:szCs w:val="15"/>
        </w:rPr>
        <w:br/>
      </w:r>
      <w:r w:rsidRPr="00C45CDD">
        <w:rPr>
          <w:rStyle w:val="Gl"/>
          <w:rFonts w:ascii="Times New Roman" w:hAnsi="Times New Roman" w:cs="Times New Roman"/>
          <w:i/>
          <w:color w:val="212529"/>
          <w:sz w:val="20"/>
          <w:szCs w:val="20"/>
          <w:u w:val="single"/>
          <w:shd w:val="clear" w:color="auto" w:fill="FFFFFF"/>
        </w:rPr>
        <w:t>İki Ülke Arasındaki Anlaşma ve Protokoller  </w:t>
      </w:r>
    </w:p>
    <w:tbl>
      <w:tblPr>
        <w:tblStyle w:val="TabloKlavuzu"/>
        <w:tblW w:w="0" w:type="auto"/>
        <w:tblLook w:val="04A0"/>
      </w:tblPr>
      <w:tblGrid>
        <w:gridCol w:w="4606"/>
        <w:gridCol w:w="2023"/>
      </w:tblGrid>
      <w:tr w:rsidR="002A2BEA" w:rsidTr="00083AD4">
        <w:tc>
          <w:tcPr>
            <w:tcW w:w="4606"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Fonts w:ascii="Times New Roman" w:eastAsia="Times New Roman" w:hAnsi="Times New Roman" w:cs="Times New Roman"/>
                <w:b/>
                <w:i/>
                <w:color w:val="212529"/>
                <w:sz w:val="18"/>
                <w:szCs w:val="18"/>
              </w:rPr>
              <w:t>Anlaşma Adı</w:t>
            </w:r>
          </w:p>
        </w:tc>
        <w:tc>
          <w:tcPr>
            <w:tcW w:w="2023"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Fonts w:ascii="Times New Roman" w:hAnsi="Times New Roman" w:cs="Times New Roman"/>
                <w:b/>
                <w:i/>
                <w:color w:val="212529"/>
                <w:sz w:val="18"/>
                <w:szCs w:val="18"/>
                <w:shd w:val="clear" w:color="auto" w:fill="FFFFFF"/>
              </w:rPr>
              <w:t>İmza Tarihi</w:t>
            </w:r>
          </w:p>
        </w:tc>
      </w:tr>
      <w:tr w:rsidR="002A2BEA" w:rsidTr="00083AD4">
        <w:tc>
          <w:tcPr>
            <w:tcW w:w="4606"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Fonts w:ascii="Times New Roman" w:eastAsia="Times New Roman" w:hAnsi="Times New Roman" w:cs="Times New Roman"/>
                <w:i/>
                <w:color w:val="212529"/>
                <w:sz w:val="18"/>
                <w:szCs w:val="18"/>
              </w:rPr>
              <w:t>Ekonomik, Endüstriyel ve Teknolojik İşbirliği Anlaşması</w:t>
            </w:r>
          </w:p>
        </w:tc>
        <w:tc>
          <w:tcPr>
            <w:tcW w:w="2023"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Style w:val="Gl"/>
                <w:rFonts w:ascii="Times New Roman" w:eastAsia="Times New Roman" w:hAnsi="Times New Roman" w:cs="Times New Roman"/>
                <w:b w:val="0"/>
                <w:bCs w:val="0"/>
                <w:i/>
                <w:color w:val="212529"/>
                <w:sz w:val="18"/>
                <w:szCs w:val="18"/>
              </w:rPr>
              <w:t>16.12.1976</w:t>
            </w:r>
          </w:p>
        </w:tc>
      </w:tr>
      <w:tr w:rsidR="002A2BEA" w:rsidTr="00083AD4">
        <w:tc>
          <w:tcPr>
            <w:tcW w:w="4606"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Fonts w:ascii="Times New Roman" w:hAnsi="Times New Roman" w:cs="Times New Roman"/>
                <w:i/>
                <w:color w:val="212529"/>
                <w:sz w:val="18"/>
                <w:szCs w:val="18"/>
                <w:shd w:val="clear" w:color="auto" w:fill="FFFFFF"/>
              </w:rPr>
              <w:t>Ekonomik, Sanayi ve Teknik İşbirliği Karma Komisyonu VI. Dönem Mutabakat Zaptı</w:t>
            </w:r>
          </w:p>
        </w:tc>
        <w:tc>
          <w:tcPr>
            <w:tcW w:w="2023"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Style w:val="Gl"/>
                <w:rFonts w:ascii="Times New Roman" w:eastAsia="Times New Roman" w:hAnsi="Times New Roman" w:cs="Times New Roman"/>
                <w:b w:val="0"/>
                <w:bCs w:val="0"/>
                <w:i/>
                <w:color w:val="212529"/>
                <w:sz w:val="18"/>
                <w:szCs w:val="18"/>
              </w:rPr>
              <w:t>14.12.1989</w:t>
            </w:r>
          </w:p>
        </w:tc>
      </w:tr>
      <w:tr w:rsidR="002A2BEA" w:rsidTr="00083AD4">
        <w:tc>
          <w:tcPr>
            <w:tcW w:w="4606"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Fonts w:ascii="Times New Roman" w:hAnsi="Times New Roman" w:cs="Times New Roman"/>
                <w:i/>
                <w:color w:val="212529"/>
                <w:sz w:val="18"/>
                <w:szCs w:val="18"/>
                <w:shd w:val="clear" w:color="auto" w:fill="FFFFFF"/>
              </w:rPr>
              <w:t>Çifte Vergilendirmenin Önlenmesi Anlaşması</w:t>
            </w:r>
          </w:p>
        </w:tc>
        <w:tc>
          <w:tcPr>
            <w:tcW w:w="2023"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Style w:val="Gl"/>
                <w:rFonts w:ascii="Times New Roman" w:eastAsia="Times New Roman" w:hAnsi="Times New Roman" w:cs="Times New Roman"/>
                <w:b w:val="0"/>
                <w:bCs w:val="0"/>
                <w:i/>
                <w:color w:val="212529"/>
                <w:sz w:val="18"/>
                <w:szCs w:val="18"/>
              </w:rPr>
              <w:t>27.07.1990</w:t>
            </w:r>
          </w:p>
        </w:tc>
      </w:tr>
      <w:tr w:rsidR="002A2BEA" w:rsidTr="00083AD4">
        <w:tc>
          <w:tcPr>
            <w:tcW w:w="4606"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Fonts w:ascii="Times New Roman" w:hAnsi="Times New Roman" w:cs="Times New Roman"/>
                <w:i/>
                <w:color w:val="212529"/>
                <w:sz w:val="18"/>
                <w:szCs w:val="18"/>
                <w:shd w:val="clear" w:color="auto" w:fill="FFFFFF"/>
              </w:rPr>
              <w:t>Yatırımların Karşılıklı Teşviki ve Korunması Anlaşması</w:t>
            </w:r>
          </w:p>
        </w:tc>
        <w:tc>
          <w:tcPr>
            <w:tcW w:w="2023" w:type="dxa"/>
          </w:tcPr>
          <w:p w:rsidR="002A2BEA" w:rsidRPr="00083AD4" w:rsidRDefault="00083AD4" w:rsidP="002A2BEA">
            <w:pPr>
              <w:spacing w:after="100" w:afterAutospacing="1"/>
              <w:jc w:val="both"/>
              <w:rPr>
                <w:rStyle w:val="Gl"/>
                <w:rFonts w:ascii="Times New Roman" w:eastAsia="Times New Roman" w:hAnsi="Times New Roman" w:cs="Times New Roman"/>
                <w:b w:val="0"/>
                <w:bCs w:val="0"/>
                <w:i/>
                <w:color w:val="212529"/>
                <w:sz w:val="18"/>
                <w:szCs w:val="18"/>
              </w:rPr>
            </w:pPr>
            <w:r w:rsidRPr="00083AD4">
              <w:rPr>
                <w:rStyle w:val="Gl"/>
                <w:rFonts w:ascii="Times New Roman" w:eastAsia="Times New Roman" w:hAnsi="Times New Roman" w:cs="Times New Roman"/>
                <w:b w:val="0"/>
                <w:bCs w:val="0"/>
                <w:i/>
                <w:color w:val="212529"/>
                <w:sz w:val="18"/>
                <w:szCs w:val="18"/>
              </w:rPr>
              <w:t>22.03.1995</w:t>
            </w:r>
          </w:p>
        </w:tc>
      </w:tr>
    </w:tbl>
    <w:p w:rsidR="00083AD4" w:rsidRDefault="00083AD4" w:rsidP="002A2BEA">
      <w:pPr>
        <w:spacing w:after="100" w:afterAutospacing="1" w:line="240" w:lineRule="auto"/>
        <w:jc w:val="both"/>
        <w:rPr>
          <w:rStyle w:val="Gl"/>
          <w:rFonts w:ascii="Arial" w:hAnsi="Arial" w:cs="Arial"/>
          <w:color w:val="212529"/>
          <w:sz w:val="15"/>
          <w:szCs w:val="15"/>
          <w:shd w:val="clear" w:color="auto" w:fill="FFFFFF"/>
        </w:rPr>
      </w:pPr>
    </w:p>
    <w:p w:rsidR="002A2BEA" w:rsidRPr="00C45CDD" w:rsidRDefault="00083AD4" w:rsidP="002A2BEA">
      <w:pPr>
        <w:spacing w:after="100" w:afterAutospacing="1" w:line="240" w:lineRule="auto"/>
        <w:jc w:val="both"/>
        <w:rPr>
          <w:rStyle w:val="Gl"/>
          <w:rFonts w:ascii="Times New Roman" w:hAnsi="Times New Roman" w:cs="Times New Roman"/>
          <w:i/>
          <w:color w:val="212529"/>
          <w:sz w:val="20"/>
          <w:szCs w:val="20"/>
          <w:u w:val="single"/>
          <w:shd w:val="clear" w:color="auto" w:fill="FFFFFF"/>
        </w:rPr>
      </w:pPr>
      <w:r w:rsidRPr="00C45CDD">
        <w:rPr>
          <w:rStyle w:val="Gl"/>
          <w:rFonts w:ascii="Times New Roman" w:hAnsi="Times New Roman" w:cs="Times New Roman"/>
          <w:i/>
          <w:color w:val="212529"/>
          <w:sz w:val="20"/>
          <w:szCs w:val="20"/>
          <w:u w:val="single"/>
          <w:shd w:val="clear" w:color="auto" w:fill="FFFFFF"/>
        </w:rPr>
        <w:t>Türkiye-İtalya Yatırım İlişkileri</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TCMB verilerine göre, 2005-2017 döneminde ülkemize gerçekleşen İtalya kaynaklı doğrudan yatırım miktarı 2,143 milyar ABD Dolarına ulaşmıştır.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2017 yılında yurtdışından Türkiye'ye gelen 7,44 milyar $ değerindeki toplam doğrudan yatırımda, İtalya 124 milyon $ %1,7 pay ile 11. sırada yer aldığı görülmektedir. 2018 yılı 5 aylık verilerine göre İtalya’dan Türkiye’ye yapılan doğrudan yatırımın tutarı ise 56 milyon ABD Dolarıdır.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Türkiye'deki İtalyan firmaların sanayi sektöründe ağırlıklı olarak gıda, hazır giyim, kimyasal ürünler, elektrik-elektronik, makine imalatı, mobilya, demir-çelik, otomotivde; hizmet sektöründe ise ticaret, turizm, haberleşme, bankacılık ve yatırım finansmanı üzerine yoğunlaştıkları görülmektedir.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lastRenderedPageBreak/>
        <w:t>TCMB verilerine göre, 2005-2017 döneminde ülkemizden İtalya’ya gerçekleşen doğrudan yatırım miktarı 276 milyon ABD Doları civarındadır.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Türkiye'nin 2017 yılında yurtdışına gerçekleştirdiği 3,18 milyar $ değerindeki toplam yurtdışı doğrudan yatırımda, İtalya 27 milyon $ %0,8 pay ile 15. sırada yer almaktadır. 2018 yılı 5 ayında Türkiye’den İtalya’ya gerçekleşen yatırım miktarı ise 7 milyon ABD Dolardır.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Türkiye’de kayıtlı şirketlerin İtalya’da 50’den fazla ortaklık veya iştiraki bulunmaktadır.  Özellikle Kuzey İtalya’da Türk vatandaşlarına ait çok sayıda işletme faaliyet göstermektedir. Bununla birlikte, söz konusu işletmeler, diğer Avrupa ülkelerindeki işletmelere kıyasla daha küçük ölçekli yapıdadır.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İtalya’nın önde gelen belli başlı firmalarının Türkiye’de temsilcilikleri mevcuttur. Bunlar arasında bazı önemli firmalar </w:t>
      </w:r>
      <w:proofErr w:type="spellStart"/>
      <w:r w:rsidRPr="00C45CDD">
        <w:rPr>
          <w:i/>
          <w:color w:val="212529"/>
          <w:sz w:val="16"/>
          <w:szCs w:val="16"/>
        </w:rPr>
        <w:t>Telecom</w:t>
      </w:r>
      <w:proofErr w:type="spellEnd"/>
      <w:r w:rsidRPr="00C45CDD">
        <w:rPr>
          <w:i/>
          <w:color w:val="212529"/>
          <w:sz w:val="16"/>
          <w:szCs w:val="16"/>
        </w:rPr>
        <w:t xml:space="preserve"> </w:t>
      </w:r>
      <w:proofErr w:type="spellStart"/>
      <w:r w:rsidRPr="00C45CDD">
        <w:rPr>
          <w:i/>
          <w:color w:val="212529"/>
          <w:sz w:val="16"/>
          <w:szCs w:val="16"/>
        </w:rPr>
        <w:t>Italia</w:t>
      </w:r>
      <w:proofErr w:type="spellEnd"/>
      <w:r w:rsidRPr="00C45CDD">
        <w:rPr>
          <w:i/>
          <w:color w:val="212529"/>
          <w:sz w:val="16"/>
          <w:szCs w:val="16"/>
        </w:rPr>
        <w:t xml:space="preserve"> Mobile (</w:t>
      </w:r>
      <w:proofErr w:type="spellStart"/>
      <w:r w:rsidRPr="00C45CDD">
        <w:rPr>
          <w:i/>
          <w:color w:val="212529"/>
          <w:sz w:val="16"/>
          <w:szCs w:val="16"/>
        </w:rPr>
        <w:t>Avea</w:t>
      </w:r>
      <w:proofErr w:type="spellEnd"/>
      <w:r w:rsidRPr="00C45CDD">
        <w:rPr>
          <w:i/>
          <w:color w:val="212529"/>
          <w:sz w:val="16"/>
          <w:szCs w:val="16"/>
        </w:rPr>
        <w:t xml:space="preserve">), </w:t>
      </w:r>
      <w:proofErr w:type="spellStart"/>
      <w:r w:rsidRPr="00C45CDD">
        <w:rPr>
          <w:i/>
          <w:color w:val="212529"/>
          <w:sz w:val="16"/>
          <w:szCs w:val="16"/>
        </w:rPr>
        <w:t>Fiat</w:t>
      </w:r>
      <w:proofErr w:type="spellEnd"/>
      <w:r w:rsidRPr="00C45CDD">
        <w:rPr>
          <w:i/>
          <w:color w:val="212529"/>
          <w:sz w:val="16"/>
          <w:szCs w:val="16"/>
        </w:rPr>
        <w:t xml:space="preserve">, </w:t>
      </w:r>
      <w:proofErr w:type="spellStart"/>
      <w:r w:rsidRPr="00C45CDD">
        <w:rPr>
          <w:i/>
          <w:color w:val="212529"/>
          <w:sz w:val="16"/>
          <w:szCs w:val="16"/>
        </w:rPr>
        <w:t>Iveco</w:t>
      </w:r>
      <w:proofErr w:type="spellEnd"/>
      <w:r w:rsidRPr="00C45CDD">
        <w:rPr>
          <w:i/>
          <w:color w:val="212529"/>
          <w:sz w:val="16"/>
          <w:szCs w:val="16"/>
        </w:rPr>
        <w:t xml:space="preserve">, </w:t>
      </w:r>
      <w:proofErr w:type="spellStart"/>
      <w:r w:rsidRPr="00C45CDD">
        <w:rPr>
          <w:i/>
          <w:color w:val="212529"/>
          <w:sz w:val="16"/>
          <w:szCs w:val="16"/>
        </w:rPr>
        <w:t>Chicco</w:t>
      </w:r>
      <w:proofErr w:type="spellEnd"/>
      <w:r w:rsidRPr="00C45CDD">
        <w:rPr>
          <w:i/>
          <w:color w:val="212529"/>
          <w:sz w:val="16"/>
          <w:szCs w:val="16"/>
        </w:rPr>
        <w:t xml:space="preserve">, </w:t>
      </w:r>
      <w:proofErr w:type="spellStart"/>
      <w:r w:rsidRPr="00C45CDD">
        <w:rPr>
          <w:i/>
          <w:color w:val="212529"/>
          <w:sz w:val="16"/>
          <w:szCs w:val="16"/>
        </w:rPr>
        <w:t>Merloni</w:t>
      </w:r>
      <w:proofErr w:type="spellEnd"/>
      <w:r w:rsidRPr="00C45CDD">
        <w:rPr>
          <w:i/>
          <w:color w:val="212529"/>
          <w:sz w:val="16"/>
          <w:szCs w:val="16"/>
        </w:rPr>
        <w:t xml:space="preserve">, De </w:t>
      </w:r>
      <w:proofErr w:type="spellStart"/>
      <w:r w:rsidRPr="00C45CDD">
        <w:rPr>
          <w:i/>
          <w:color w:val="212529"/>
          <w:sz w:val="16"/>
          <w:szCs w:val="16"/>
        </w:rPr>
        <w:t>Longhi</w:t>
      </w:r>
      <w:proofErr w:type="spellEnd"/>
      <w:r w:rsidRPr="00C45CDD">
        <w:rPr>
          <w:i/>
          <w:color w:val="212529"/>
          <w:sz w:val="16"/>
          <w:szCs w:val="16"/>
        </w:rPr>
        <w:t xml:space="preserve">, </w:t>
      </w:r>
      <w:proofErr w:type="spellStart"/>
      <w:r w:rsidRPr="00C45CDD">
        <w:rPr>
          <w:i/>
          <w:color w:val="212529"/>
          <w:sz w:val="16"/>
          <w:szCs w:val="16"/>
        </w:rPr>
        <w:t>Magnetti</w:t>
      </w:r>
      <w:proofErr w:type="spellEnd"/>
      <w:r w:rsidRPr="00C45CDD">
        <w:rPr>
          <w:i/>
          <w:color w:val="212529"/>
          <w:sz w:val="16"/>
          <w:szCs w:val="16"/>
        </w:rPr>
        <w:t xml:space="preserve"> </w:t>
      </w:r>
      <w:proofErr w:type="spellStart"/>
      <w:r w:rsidRPr="00C45CDD">
        <w:rPr>
          <w:i/>
          <w:color w:val="212529"/>
          <w:sz w:val="16"/>
          <w:szCs w:val="16"/>
        </w:rPr>
        <w:t>Marelli</w:t>
      </w:r>
      <w:proofErr w:type="spellEnd"/>
      <w:r w:rsidRPr="00C45CDD">
        <w:rPr>
          <w:i/>
          <w:color w:val="212529"/>
          <w:sz w:val="16"/>
          <w:szCs w:val="16"/>
        </w:rPr>
        <w:t xml:space="preserve">, </w:t>
      </w:r>
      <w:proofErr w:type="spellStart"/>
      <w:r w:rsidRPr="00C45CDD">
        <w:rPr>
          <w:i/>
          <w:color w:val="212529"/>
          <w:sz w:val="16"/>
          <w:szCs w:val="16"/>
        </w:rPr>
        <w:t>Pirelli</w:t>
      </w:r>
      <w:proofErr w:type="spellEnd"/>
      <w:r w:rsidRPr="00C45CDD">
        <w:rPr>
          <w:i/>
          <w:color w:val="212529"/>
          <w:sz w:val="16"/>
          <w:szCs w:val="16"/>
        </w:rPr>
        <w:t xml:space="preserve">, </w:t>
      </w:r>
      <w:proofErr w:type="spellStart"/>
      <w:r w:rsidRPr="00C45CDD">
        <w:rPr>
          <w:i/>
          <w:color w:val="212529"/>
          <w:sz w:val="16"/>
          <w:szCs w:val="16"/>
        </w:rPr>
        <w:t>Ermenogildo</w:t>
      </w:r>
      <w:proofErr w:type="spellEnd"/>
      <w:r w:rsidRPr="00C45CDD">
        <w:rPr>
          <w:i/>
          <w:color w:val="212529"/>
          <w:sz w:val="16"/>
          <w:szCs w:val="16"/>
        </w:rPr>
        <w:t xml:space="preserve"> </w:t>
      </w:r>
      <w:proofErr w:type="spellStart"/>
      <w:r w:rsidRPr="00C45CDD">
        <w:rPr>
          <w:i/>
          <w:color w:val="212529"/>
          <w:sz w:val="16"/>
          <w:szCs w:val="16"/>
        </w:rPr>
        <w:t>Zegna</w:t>
      </w:r>
      <w:proofErr w:type="spellEnd"/>
      <w:r w:rsidRPr="00C45CDD">
        <w:rPr>
          <w:i/>
          <w:color w:val="212529"/>
          <w:sz w:val="16"/>
          <w:szCs w:val="16"/>
        </w:rPr>
        <w:t xml:space="preserve">, </w:t>
      </w:r>
      <w:proofErr w:type="spellStart"/>
      <w:r w:rsidRPr="00C45CDD">
        <w:rPr>
          <w:i/>
          <w:color w:val="212529"/>
          <w:sz w:val="16"/>
          <w:szCs w:val="16"/>
        </w:rPr>
        <w:t>Astaldi</w:t>
      </w:r>
      <w:proofErr w:type="spellEnd"/>
      <w:r w:rsidRPr="00C45CDD">
        <w:rPr>
          <w:i/>
          <w:color w:val="212529"/>
          <w:sz w:val="16"/>
          <w:szCs w:val="16"/>
        </w:rPr>
        <w:t xml:space="preserve">, </w:t>
      </w:r>
      <w:proofErr w:type="spellStart"/>
      <w:r w:rsidRPr="00C45CDD">
        <w:rPr>
          <w:i/>
          <w:color w:val="212529"/>
          <w:sz w:val="16"/>
          <w:szCs w:val="16"/>
        </w:rPr>
        <w:t>Trevi</w:t>
      </w:r>
      <w:proofErr w:type="spellEnd"/>
      <w:r w:rsidRPr="00C45CDD">
        <w:rPr>
          <w:i/>
          <w:color w:val="212529"/>
          <w:sz w:val="16"/>
          <w:szCs w:val="16"/>
        </w:rPr>
        <w:t xml:space="preserve">, </w:t>
      </w:r>
      <w:proofErr w:type="spellStart"/>
      <w:r w:rsidRPr="00C45CDD">
        <w:rPr>
          <w:i/>
          <w:color w:val="212529"/>
          <w:sz w:val="16"/>
          <w:szCs w:val="16"/>
        </w:rPr>
        <w:t>Caltagirone</w:t>
      </w:r>
      <w:proofErr w:type="spellEnd"/>
      <w:r w:rsidRPr="00C45CDD">
        <w:rPr>
          <w:i/>
          <w:color w:val="212529"/>
          <w:sz w:val="16"/>
          <w:szCs w:val="16"/>
        </w:rPr>
        <w:t xml:space="preserve"> </w:t>
      </w:r>
      <w:proofErr w:type="spellStart"/>
      <w:r w:rsidRPr="00C45CDD">
        <w:rPr>
          <w:i/>
          <w:color w:val="212529"/>
          <w:sz w:val="16"/>
          <w:szCs w:val="16"/>
        </w:rPr>
        <w:t>Group</w:t>
      </w:r>
      <w:proofErr w:type="spellEnd"/>
      <w:r w:rsidRPr="00C45CDD">
        <w:rPr>
          <w:i/>
          <w:color w:val="212529"/>
          <w:sz w:val="16"/>
          <w:szCs w:val="16"/>
        </w:rPr>
        <w:t xml:space="preserve"> (</w:t>
      </w:r>
      <w:proofErr w:type="spellStart"/>
      <w:r w:rsidRPr="00C45CDD">
        <w:rPr>
          <w:i/>
          <w:color w:val="212529"/>
          <w:sz w:val="16"/>
          <w:szCs w:val="16"/>
        </w:rPr>
        <w:t>Çimentaş</w:t>
      </w:r>
      <w:proofErr w:type="spellEnd"/>
      <w:r w:rsidRPr="00C45CDD">
        <w:rPr>
          <w:i/>
          <w:color w:val="212529"/>
          <w:sz w:val="16"/>
          <w:szCs w:val="16"/>
        </w:rPr>
        <w:t xml:space="preserve">), Banca </w:t>
      </w:r>
      <w:proofErr w:type="spellStart"/>
      <w:r w:rsidRPr="00C45CDD">
        <w:rPr>
          <w:i/>
          <w:color w:val="212529"/>
          <w:sz w:val="16"/>
          <w:szCs w:val="16"/>
        </w:rPr>
        <w:t>Intesa</w:t>
      </w:r>
      <w:proofErr w:type="spellEnd"/>
      <w:r w:rsidRPr="00C45CDD">
        <w:rPr>
          <w:i/>
          <w:color w:val="212529"/>
          <w:sz w:val="16"/>
          <w:szCs w:val="16"/>
        </w:rPr>
        <w:t xml:space="preserve">, Banca </w:t>
      </w:r>
      <w:proofErr w:type="spellStart"/>
      <w:r w:rsidRPr="00C45CDD">
        <w:rPr>
          <w:i/>
          <w:color w:val="212529"/>
          <w:sz w:val="16"/>
          <w:szCs w:val="16"/>
        </w:rPr>
        <w:t>di</w:t>
      </w:r>
      <w:proofErr w:type="spellEnd"/>
      <w:r w:rsidRPr="00C45CDD">
        <w:rPr>
          <w:i/>
          <w:color w:val="212529"/>
          <w:sz w:val="16"/>
          <w:szCs w:val="16"/>
        </w:rPr>
        <w:t xml:space="preserve"> Roma, </w:t>
      </w:r>
      <w:proofErr w:type="spellStart"/>
      <w:r w:rsidRPr="00C45CDD">
        <w:rPr>
          <w:i/>
          <w:color w:val="212529"/>
          <w:sz w:val="16"/>
          <w:szCs w:val="16"/>
        </w:rPr>
        <w:t>Instituto</w:t>
      </w:r>
      <w:proofErr w:type="spellEnd"/>
      <w:r w:rsidRPr="00C45CDD">
        <w:rPr>
          <w:i/>
          <w:color w:val="212529"/>
          <w:sz w:val="16"/>
          <w:szCs w:val="16"/>
        </w:rPr>
        <w:t xml:space="preserve"> </w:t>
      </w:r>
      <w:proofErr w:type="spellStart"/>
      <w:r w:rsidRPr="00C45CDD">
        <w:rPr>
          <w:i/>
          <w:color w:val="212529"/>
          <w:sz w:val="16"/>
          <w:szCs w:val="16"/>
        </w:rPr>
        <w:t>Bancario</w:t>
      </w:r>
      <w:proofErr w:type="spellEnd"/>
      <w:r w:rsidRPr="00C45CDD">
        <w:rPr>
          <w:i/>
          <w:color w:val="212529"/>
          <w:sz w:val="16"/>
          <w:szCs w:val="16"/>
        </w:rPr>
        <w:t xml:space="preserve">, </w:t>
      </w:r>
      <w:proofErr w:type="spellStart"/>
      <w:r w:rsidRPr="00C45CDD">
        <w:rPr>
          <w:i/>
          <w:color w:val="212529"/>
          <w:sz w:val="16"/>
          <w:szCs w:val="16"/>
        </w:rPr>
        <w:t>Assicurazioni</w:t>
      </w:r>
      <w:proofErr w:type="spellEnd"/>
      <w:r w:rsidRPr="00C45CDD">
        <w:rPr>
          <w:i/>
          <w:color w:val="212529"/>
          <w:sz w:val="16"/>
          <w:szCs w:val="16"/>
        </w:rPr>
        <w:t xml:space="preserve"> Generali, </w:t>
      </w:r>
      <w:proofErr w:type="spellStart"/>
      <w:r w:rsidRPr="00C45CDD">
        <w:rPr>
          <w:i/>
          <w:color w:val="212529"/>
          <w:sz w:val="16"/>
          <w:szCs w:val="16"/>
        </w:rPr>
        <w:t>Barilla</w:t>
      </w:r>
      <w:proofErr w:type="spellEnd"/>
      <w:r w:rsidRPr="00C45CDD">
        <w:rPr>
          <w:i/>
          <w:color w:val="212529"/>
          <w:sz w:val="16"/>
          <w:szCs w:val="16"/>
        </w:rPr>
        <w:t xml:space="preserve"> </w:t>
      </w:r>
      <w:proofErr w:type="spellStart"/>
      <w:r w:rsidRPr="00C45CDD">
        <w:rPr>
          <w:i/>
          <w:color w:val="212529"/>
          <w:sz w:val="16"/>
          <w:szCs w:val="16"/>
        </w:rPr>
        <w:t>Alimentare</w:t>
      </w:r>
      <w:proofErr w:type="spellEnd"/>
      <w:r w:rsidRPr="00C45CDD">
        <w:rPr>
          <w:i/>
          <w:color w:val="212529"/>
          <w:sz w:val="16"/>
          <w:szCs w:val="16"/>
        </w:rPr>
        <w:t xml:space="preserve"> (Filiz Gıda), </w:t>
      </w:r>
      <w:proofErr w:type="spellStart"/>
      <w:r w:rsidRPr="00C45CDD">
        <w:rPr>
          <w:i/>
          <w:color w:val="212529"/>
          <w:sz w:val="16"/>
          <w:szCs w:val="16"/>
        </w:rPr>
        <w:t>Menarini</w:t>
      </w:r>
      <w:proofErr w:type="spellEnd"/>
      <w:r w:rsidRPr="00C45CDD">
        <w:rPr>
          <w:i/>
          <w:color w:val="212529"/>
          <w:sz w:val="16"/>
          <w:szCs w:val="16"/>
        </w:rPr>
        <w:t xml:space="preserve"> </w:t>
      </w:r>
      <w:proofErr w:type="spellStart"/>
      <w:r w:rsidRPr="00C45CDD">
        <w:rPr>
          <w:i/>
          <w:color w:val="212529"/>
          <w:sz w:val="16"/>
          <w:szCs w:val="16"/>
        </w:rPr>
        <w:t>International</w:t>
      </w:r>
      <w:proofErr w:type="spellEnd"/>
      <w:r w:rsidRPr="00C45CDD">
        <w:rPr>
          <w:i/>
          <w:color w:val="212529"/>
          <w:sz w:val="16"/>
          <w:szCs w:val="16"/>
        </w:rPr>
        <w:t xml:space="preserve">, </w:t>
      </w:r>
      <w:proofErr w:type="spellStart"/>
      <w:r w:rsidRPr="00C45CDD">
        <w:rPr>
          <w:i/>
          <w:color w:val="212529"/>
          <w:sz w:val="16"/>
          <w:szCs w:val="16"/>
        </w:rPr>
        <w:t>Omron</w:t>
      </w:r>
      <w:proofErr w:type="spellEnd"/>
      <w:r w:rsidRPr="00C45CDD">
        <w:rPr>
          <w:i/>
          <w:color w:val="212529"/>
          <w:sz w:val="16"/>
          <w:szCs w:val="16"/>
        </w:rPr>
        <w:t xml:space="preserve"> </w:t>
      </w:r>
      <w:proofErr w:type="spellStart"/>
      <w:r w:rsidRPr="00C45CDD">
        <w:rPr>
          <w:i/>
          <w:color w:val="212529"/>
          <w:sz w:val="16"/>
          <w:szCs w:val="16"/>
        </w:rPr>
        <w:t>Electronics</w:t>
      </w:r>
      <w:proofErr w:type="spellEnd"/>
      <w:r w:rsidRPr="00C45CDD">
        <w:rPr>
          <w:i/>
          <w:color w:val="212529"/>
          <w:sz w:val="16"/>
          <w:szCs w:val="16"/>
        </w:rPr>
        <w:t xml:space="preserve">, </w:t>
      </w:r>
      <w:proofErr w:type="spellStart"/>
      <w:r w:rsidRPr="00C45CDD">
        <w:rPr>
          <w:i/>
          <w:color w:val="212529"/>
          <w:sz w:val="16"/>
          <w:szCs w:val="16"/>
        </w:rPr>
        <w:t>Inelli</w:t>
      </w:r>
      <w:proofErr w:type="spellEnd"/>
      <w:r w:rsidRPr="00C45CDD">
        <w:rPr>
          <w:i/>
          <w:color w:val="212529"/>
          <w:sz w:val="16"/>
          <w:szCs w:val="16"/>
        </w:rPr>
        <w:t xml:space="preserve"> Plastik, </w:t>
      </w:r>
      <w:proofErr w:type="spellStart"/>
      <w:r w:rsidRPr="00C45CDD">
        <w:rPr>
          <w:i/>
          <w:color w:val="212529"/>
          <w:sz w:val="16"/>
          <w:szCs w:val="16"/>
        </w:rPr>
        <w:t>Scavolini</w:t>
      </w:r>
      <w:proofErr w:type="spellEnd"/>
      <w:r w:rsidRPr="00C45CDD">
        <w:rPr>
          <w:i/>
          <w:color w:val="212529"/>
          <w:sz w:val="16"/>
          <w:szCs w:val="16"/>
        </w:rPr>
        <w:t xml:space="preserve">, </w:t>
      </w:r>
      <w:proofErr w:type="spellStart"/>
      <w:r w:rsidRPr="00C45CDD">
        <w:rPr>
          <w:i/>
          <w:color w:val="212529"/>
          <w:sz w:val="16"/>
          <w:szCs w:val="16"/>
        </w:rPr>
        <w:t>Veneta</w:t>
      </w:r>
      <w:proofErr w:type="spellEnd"/>
      <w:r w:rsidRPr="00C45CDD">
        <w:rPr>
          <w:i/>
          <w:color w:val="212529"/>
          <w:sz w:val="16"/>
          <w:szCs w:val="16"/>
        </w:rPr>
        <w:t xml:space="preserve"> </w:t>
      </w:r>
      <w:proofErr w:type="spellStart"/>
      <w:r w:rsidRPr="00C45CDD">
        <w:rPr>
          <w:i/>
          <w:color w:val="212529"/>
          <w:sz w:val="16"/>
          <w:szCs w:val="16"/>
        </w:rPr>
        <w:t>Cucina’dır</w:t>
      </w:r>
      <w:proofErr w:type="spellEnd"/>
      <w:r w:rsidRPr="00C45CDD">
        <w:rPr>
          <w:i/>
          <w:color w:val="212529"/>
          <w:sz w:val="16"/>
          <w:szCs w:val="16"/>
        </w:rPr>
        <w:t>.</w:t>
      </w:r>
    </w:p>
    <w:p w:rsidR="00083AD4" w:rsidRPr="00C45CDD" w:rsidRDefault="00083AD4" w:rsidP="00083AD4">
      <w:pPr>
        <w:pStyle w:val="NormalWeb"/>
        <w:spacing w:before="0" w:beforeAutospacing="0"/>
        <w:jc w:val="both"/>
        <w:rPr>
          <w:rStyle w:val="Gl"/>
          <w:rFonts w:eastAsiaTheme="majorEastAsia"/>
          <w:i/>
          <w:color w:val="212529"/>
          <w:sz w:val="28"/>
          <w:szCs w:val="28"/>
          <w:u w:val="single"/>
          <w:shd w:val="clear" w:color="auto" w:fill="FFFFFF"/>
        </w:rPr>
      </w:pPr>
      <w:r w:rsidRPr="00C45CDD">
        <w:rPr>
          <w:rStyle w:val="Gl"/>
          <w:rFonts w:eastAsiaTheme="majorEastAsia"/>
          <w:i/>
          <w:color w:val="212529"/>
          <w:sz w:val="28"/>
          <w:szCs w:val="28"/>
          <w:u w:val="single"/>
          <w:shd w:val="clear" w:color="auto" w:fill="FFFFFF"/>
        </w:rPr>
        <w:t>İş Konseyi</w:t>
      </w:r>
    </w:p>
    <w:p w:rsidR="00083AD4" w:rsidRPr="00C45CDD" w:rsidRDefault="00083AD4" w:rsidP="00083AD4">
      <w:pPr>
        <w:pStyle w:val="NormalWeb"/>
        <w:spacing w:before="0" w:beforeAutospacing="0"/>
        <w:jc w:val="both"/>
        <w:rPr>
          <w:color w:val="212529"/>
          <w:sz w:val="16"/>
          <w:szCs w:val="16"/>
        </w:rPr>
      </w:pPr>
      <w:r w:rsidRPr="00C45CDD">
        <w:rPr>
          <w:i/>
          <w:color w:val="212529"/>
          <w:sz w:val="16"/>
          <w:szCs w:val="16"/>
        </w:rPr>
        <w:t xml:space="preserve">Türk-İtalyan İş Konseyi 1990 yılında kurulmuştur. İş Konseyi faaliyetleri ortak toplantılar, yatırım seminerleri ve bölgesel toplantılar çerçevesinde sürdürülmektedir. Ticari ilişkiler, ortak yatırımlar, teknolojik işbirliği ve üçüncü ülkelerde işbirliğinin geliştirilmesi amaçlanmaktadır. İki ülkenin KOBİ’leri arasında işbirliğinin geliştirilmesi potansiyeli mevcuttur. Bu nedenle İtalya ve Türkiye’de bölgesel ve </w:t>
      </w:r>
      <w:proofErr w:type="spellStart"/>
      <w:r w:rsidRPr="00C45CDD">
        <w:rPr>
          <w:i/>
          <w:color w:val="212529"/>
          <w:sz w:val="16"/>
          <w:szCs w:val="16"/>
        </w:rPr>
        <w:t>sektörel</w:t>
      </w:r>
      <w:proofErr w:type="spellEnd"/>
      <w:r w:rsidRPr="00C45CDD">
        <w:rPr>
          <w:i/>
          <w:color w:val="212529"/>
          <w:sz w:val="16"/>
          <w:szCs w:val="16"/>
        </w:rPr>
        <w:t xml:space="preserve"> işbirliği toplantılarına İş Konseyi çalışmalarında ağırlık verilmekte ve her iki ülkede ilgi kuruluşlar ile işbirliği yapılmaktadır. Ayrıca, İtalya’nın Türkiye’deki yatırımlarının artırılması ve GAP bölgesindeki işbirliği olanaklarının değerlendirilmesine yönelik çalışmalar sürdürülmektedir</w:t>
      </w:r>
      <w:r w:rsidRPr="00C45CDD">
        <w:rPr>
          <w:color w:val="212529"/>
          <w:sz w:val="16"/>
          <w:szCs w:val="16"/>
        </w:rPr>
        <w:t>.</w:t>
      </w:r>
    </w:p>
    <w:p w:rsidR="00083AD4" w:rsidRPr="00C45CDD" w:rsidRDefault="00083AD4" w:rsidP="00083AD4">
      <w:pPr>
        <w:pStyle w:val="NormalWeb"/>
        <w:spacing w:before="0" w:beforeAutospacing="0"/>
        <w:jc w:val="both"/>
        <w:rPr>
          <w:rStyle w:val="Gl"/>
          <w:rFonts w:eastAsiaTheme="majorEastAsia"/>
          <w:i/>
          <w:color w:val="212529"/>
          <w:sz w:val="28"/>
          <w:szCs w:val="28"/>
          <w:u w:val="single"/>
          <w:shd w:val="clear" w:color="auto" w:fill="FFFFFF"/>
        </w:rPr>
      </w:pPr>
      <w:r w:rsidRPr="00C45CDD">
        <w:rPr>
          <w:rStyle w:val="Gl"/>
          <w:rFonts w:eastAsiaTheme="majorEastAsia"/>
          <w:i/>
          <w:color w:val="212529"/>
          <w:sz w:val="28"/>
          <w:szCs w:val="28"/>
          <w:u w:val="single"/>
          <w:shd w:val="clear" w:color="auto" w:fill="FFFFFF"/>
        </w:rPr>
        <w:t xml:space="preserve">İşbirliği </w:t>
      </w:r>
      <w:proofErr w:type="gramStart"/>
      <w:r w:rsidRPr="00C45CDD">
        <w:rPr>
          <w:rStyle w:val="Gl"/>
          <w:rFonts w:eastAsiaTheme="majorEastAsia"/>
          <w:i/>
          <w:color w:val="212529"/>
          <w:sz w:val="28"/>
          <w:szCs w:val="28"/>
          <w:u w:val="single"/>
          <w:shd w:val="clear" w:color="auto" w:fill="FFFFFF"/>
        </w:rPr>
        <w:t>İmkanları</w:t>
      </w:r>
      <w:proofErr w:type="gramEnd"/>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Türkiye’nin AB üyeliğini destekleyen ülkelerin başında gelen İtalya, Türkiye'nin Almanya ve Rusya’dan sonraki en büyük üçüncü ticaret ortağıdır. İtalya, aynı zamanda Türkiye’deki en büyük beşinci yabancı yatırımcı konumunda bulunmaktadır. </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Türkiye ve İtalya arasındaki ticari ve ekonomik ilişkiler son yıllarda hızla gelişmektedir. İtalyan Ticaret Odası’ndan yapılan açıklamalara göre, Türkiye İtalya için Çin, Rusya veya Brezilya'dan çok daha önemli bir yatırım ve ticaret ortağı durumundadır. Bunun başlıca nedenleri arasında Türkiye’nin İtalya’ya yakın olması ve komşu olduğu pazarlara girebilmek için önemli bir merkez oluşturmasıdır.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Avrupa Birliği’nin en gelişmiş ekonomileri arasında yer alan İtalya ile Türkiye arasındaki ilişkiler birbirini tamamlar niteliktedir. Tekstil-</w:t>
      </w:r>
      <w:proofErr w:type="gramStart"/>
      <w:r w:rsidRPr="00C45CDD">
        <w:rPr>
          <w:i/>
          <w:color w:val="212529"/>
          <w:sz w:val="16"/>
          <w:szCs w:val="16"/>
        </w:rPr>
        <w:t>konfeksiyon</w:t>
      </w:r>
      <w:proofErr w:type="gramEnd"/>
      <w:r w:rsidRPr="00C45CDD">
        <w:rPr>
          <w:i/>
          <w:color w:val="212529"/>
          <w:sz w:val="16"/>
          <w:szCs w:val="16"/>
        </w:rPr>
        <w:t>, deri, makine imalat, gıda işleme ve kimya sektörleri İtalyan firmalarının işbirliğine son derece açıktır. Bu sektörlerin yanı sıra ambalaj, madencilik, mobilya, otomotiv yan sanayi, elektronik, güvenlik sistemleri, mücevherat, haberleşme, mühendislik, lojistik, metal işleme, gemi inşa, enerji, ulaştırma, çevre projeleri, savunma sanayi, sağlık, finansal hizmetler ve turizm sektörleri de işbirliği potansiyeline sahiptir.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Mutfak ve banyo mobilyası konusunda, </w:t>
      </w:r>
      <w:proofErr w:type="spellStart"/>
      <w:r w:rsidRPr="00C45CDD">
        <w:rPr>
          <w:i/>
          <w:color w:val="212529"/>
          <w:sz w:val="16"/>
          <w:szCs w:val="16"/>
        </w:rPr>
        <w:t>Veneta</w:t>
      </w:r>
      <w:proofErr w:type="spellEnd"/>
      <w:r w:rsidRPr="00C45CDD">
        <w:rPr>
          <w:i/>
          <w:color w:val="212529"/>
          <w:sz w:val="16"/>
          <w:szCs w:val="16"/>
        </w:rPr>
        <w:t xml:space="preserve"> </w:t>
      </w:r>
      <w:proofErr w:type="spellStart"/>
      <w:r w:rsidRPr="00C45CDD">
        <w:rPr>
          <w:i/>
          <w:color w:val="212529"/>
          <w:sz w:val="16"/>
          <w:szCs w:val="16"/>
        </w:rPr>
        <w:t>Cucina</w:t>
      </w:r>
      <w:proofErr w:type="spellEnd"/>
      <w:r w:rsidRPr="00C45CDD">
        <w:rPr>
          <w:i/>
          <w:color w:val="212529"/>
          <w:sz w:val="16"/>
          <w:szCs w:val="16"/>
        </w:rPr>
        <w:t xml:space="preserve">, </w:t>
      </w:r>
      <w:proofErr w:type="spellStart"/>
      <w:r w:rsidRPr="00C45CDD">
        <w:rPr>
          <w:i/>
          <w:color w:val="212529"/>
          <w:sz w:val="16"/>
          <w:szCs w:val="16"/>
        </w:rPr>
        <w:t>Oikas</w:t>
      </w:r>
      <w:proofErr w:type="spellEnd"/>
      <w:r w:rsidRPr="00C45CDD">
        <w:rPr>
          <w:i/>
          <w:color w:val="212529"/>
          <w:sz w:val="16"/>
          <w:szCs w:val="16"/>
        </w:rPr>
        <w:t xml:space="preserve">, </w:t>
      </w:r>
      <w:proofErr w:type="spellStart"/>
      <w:r w:rsidRPr="00C45CDD">
        <w:rPr>
          <w:i/>
          <w:color w:val="212529"/>
          <w:sz w:val="16"/>
          <w:szCs w:val="16"/>
        </w:rPr>
        <w:t>Scavolini</w:t>
      </w:r>
      <w:proofErr w:type="spellEnd"/>
      <w:r w:rsidRPr="00C45CDD">
        <w:rPr>
          <w:i/>
          <w:color w:val="212529"/>
          <w:sz w:val="16"/>
          <w:szCs w:val="16"/>
        </w:rPr>
        <w:t xml:space="preserve"> gibi Türkiye’deki varlıklarını mümessillik veya doğrudan satış yoluyla sürdüren İtalya’nın önde gelen banyo ve mobilya üreticileri, Türkiye’ye sadece pazar olarak bakmaktansa burada Türk ortaklarla ihracata dayalı üretim yaparak Çin’in rekabetini aşmayı, komşu ülkelerde (Rusya, Kafkas Ülkeleri, Orta Asya, Kuzey Afrika ve Orta Doğu) </w:t>
      </w:r>
      <w:proofErr w:type="gramStart"/>
      <w:r w:rsidRPr="00C45CDD">
        <w:rPr>
          <w:i/>
          <w:color w:val="212529"/>
          <w:sz w:val="16"/>
          <w:szCs w:val="16"/>
        </w:rPr>
        <w:t>müteahhitlik</w:t>
      </w:r>
      <w:proofErr w:type="gramEnd"/>
      <w:r w:rsidRPr="00C45CDD">
        <w:rPr>
          <w:i/>
          <w:color w:val="212529"/>
          <w:sz w:val="16"/>
          <w:szCs w:val="16"/>
        </w:rPr>
        <w:t xml:space="preserve"> ve konut inşaatına paralel olarak artmakta olan mobilya talebini karşılamayı, pazardaki yerlerini korumayı ve talebi artan mobilya pazarından daha fazla pay almayı hedeflemektedirler.</w:t>
      </w:r>
    </w:p>
    <w:p w:rsidR="00083AD4" w:rsidRPr="00083AD4" w:rsidRDefault="00083AD4" w:rsidP="00083AD4">
      <w:pPr>
        <w:pStyle w:val="NormalWeb"/>
        <w:spacing w:before="0" w:beforeAutospacing="0"/>
        <w:jc w:val="both"/>
        <w:rPr>
          <w:i/>
          <w:color w:val="212529"/>
          <w:sz w:val="20"/>
          <w:szCs w:val="20"/>
        </w:rPr>
      </w:pPr>
      <w:r w:rsidRPr="00C45CDD">
        <w:rPr>
          <w:i/>
          <w:color w:val="212529"/>
          <w:sz w:val="16"/>
          <w:szCs w:val="16"/>
        </w:rPr>
        <w:t xml:space="preserve">Mobilya sektöründe diğer bir işbirliği alanı, mobilya yan sanayinde oluşturulabilecek imkânlardır. Türkiye’de mobilya sektörünün en önemli sorunlarından biri, her üreticinin doğrudan tüketiciye ulaşmak isteği ile nihai ürün imal etmek arzusu nedeniyle gerekli yan sanayinin oluşmamasıdır. </w:t>
      </w:r>
      <w:proofErr w:type="spellStart"/>
      <w:r w:rsidRPr="00C45CDD">
        <w:rPr>
          <w:i/>
          <w:color w:val="212529"/>
          <w:sz w:val="16"/>
          <w:szCs w:val="16"/>
        </w:rPr>
        <w:t>Ardeco</w:t>
      </w:r>
      <w:proofErr w:type="spellEnd"/>
      <w:r w:rsidRPr="00C45CDD">
        <w:rPr>
          <w:i/>
          <w:color w:val="212529"/>
          <w:sz w:val="16"/>
          <w:szCs w:val="16"/>
        </w:rPr>
        <w:t xml:space="preserve">, </w:t>
      </w:r>
      <w:proofErr w:type="spellStart"/>
      <w:r w:rsidRPr="00C45CDD">
        <w:rPr>
          <w:i/>
          <w:color w:val="212529"/>
          <w:sz w:val="16"/>
          <w:szCs w:val="16"/>
        </w:rPr>
        <w:t>Artesi</w:t>
      </w:r>
      <w:proofErr w:type="spellEnd"/>
      <w:r w:rsidRPr="00C45CDD">
        <w:rPr>
          <w:i/>
          <w:color w:val="212529"/>
          <w:sz w:val="16"/>
          <w:szCs w:val="16"/>
        </w:rPr>
        <w:t xml:space="preserve">, </w:t>
      </w:r>
      <w:proofErr w:type="spellStart"/>
      <w:r w:rsidRPr="00C45CDD">
        <w:rPr>
          <w:i/>
          <w:color w:val="212529"/>
          <w:sz w:val="16"/>
          <w:szCs w:val="16"/>
        </w:rPr>
        <w:t>Dierre</w:t>
      </w:r>
      <w:proofErr w:type="spellEnd"/>
      <w:r w:rsidRPr="00C45CDD">
        <w:rPr>
          <w:i/>
          <w:color w:val="212529"/>
          <w:sz w:val="16"/>
          <w:szCs w:val="16"/>
        </w:rPr>
        <w:t xml:space="preserve"> gibi İtalya’nın önde gelen dolap ve kapı sistemleri, banyo dolap sistemleri varlıklarını mümessillik yoluyla sürdürmektedir</w:t>
      </w:r>
      <w:r w:rsidRPr="00083AD4">
        <w:rPr>
          <w:i/>
          <w:color w:val="212529"/>
          <w:sz w:val="20"/>
          <w:szCs w:val="20"/>
        </w:rPr>
        <w:t xml:space="preserve">. Mobilya sektörünün öne çıkan üreticilerinin markalaşma yatırımını yapmış satış ve dağıtım uzmanlığı olan İtalyan firmalarıyla yan sanayi alanında yapacağı ortak yatırımlar sektörü uluslararası pazarda daha rekabetçi duruma getirebilecektir. Söz konusu işbirliğinin gerçekleşmesi durumunda yurtiçi kalitemizin yanı sıra ihracat </w:t>
      </w:r>
      <w:proofErr w:type="gramStart"/>
      <w:r w:rsidRPr="00083AD4">
        <w:rPr>
          <w:i/>
          <w:color w:val="212529"/>
          <w:sz w:val="20"/>
          <w:szCs w:val="20"/>
        </w:rPr>
        <w:t>imkanlarımızın</w:t>
      </w:r>
      <w:proofErr w:type="gramEnd"/>
      <w:r w:rsidRPr="00083AD4">
        <w:rPr>
          <w:i/>
          <w:color w:val="212529"/>
          <w:sz w:val="20"/>
          <w:szCs w:val="20"/>
        </w:rPr>
        <w:t xml:space="preserve"> da gelişmesi mümkündür.</w:t>
      </w:r>
    </w:p>
    <w:p w:rsidR="00083AD4" w:rsidRPr="00083AD4" w:rsidRDefault="00083AD4" w:rsidP="00083AD4">
      <w:pPr>
        <w:pStyle w:val="NormalWeb"/>
        <w:spacing w:before="0" w:beforeAutospacing="0"/>
        <w:jc w:val="both"/>
        <w:rPr>
          <w:i/>
          <w:color w:val="212529"/>
          <w:sz w:val="20"/>
          <w:szCs w:val="20"/>
        </w:rPr>
      </w:pPr>
      <w:r w:rsidRPr="00083AD4">
        <w:rPr>
          <w:i/>
          <w:color w:val="212529"/>
          <w:sz w:val="20"/>
          <w:szCs w:val="20"/>
        </w:rPr>
        <w:t>Bir diğer işbirliği alanı da konut inşaatı ve yeni yatırımlara paralel artış gösteren mermer sektörüdür. Mobilya talebinin artışı için sözü geçen faktörler mermer sektörü için de geçerlidir. İtalya Türkiye’den blok halinde mermer ithal ederek işlenmiş ürünleri ihraç etmektedir. Bu kapsamda, Türkiye’de mermer işlemesine yönelik yapacakları yatırımlarla komşu ülke pazarlarından daha fazla pay almak istemektedirler.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Ayakkabı sektöründe İtalya, Çin’in uluslararası pazarda hızla artan rekabetin ve avronun değerinin artmasına paralel olarak dünya pazarında hızla pay kaybetmektedir. İtalya bu tehditlere paralel olarak dünyada tasarım, üretim ve ihracatında söz sahibi oldukları ayakkabı sektöründeki mevcut durumlarını koruyabilmek amacıyla üretimlerini Türkiye’de ayakkabı sektörünün yoğunlaştığı İstanbul, Bursa, İzmir, Manisa, Denizli, Konya, Ankara, Kayseri, Isparta, Hatay, Gaziantep, Şanlıurfa, Kahramanmaraş, Malatya, Trabzon ve Samsun yörelerine kaydırmak konusunda eğilimlidirler.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lastRenderedPageBreak/>
        <w:t>Gıda alanında ise, Türkiye, İtalyan firmalar açısından geniş iş fırsatları sunmaktadır. Özellikle Amerika, AB ülkeleri ve Uzak Doğu ülkelerinde pazarı üretim, tüketim ve ticaret hacmi bakımından hızla artmakta olan organik tarım ve hayvancılık ürünleri ticaret hacmi bakımından hızla artmakta olan organik tarıma geçiş için gerekli olan faktörlere en iyi cevap verebilen ülkelerden biridir. Türkiye organik tarım alanında dünya üretiminde ve ihracatında söz sahibi olduğu fındık, incir, üzüm, zeytinyağı, pamuk gibi ürünlerini dış pazarlarca talep edilen miktarlarda üretmekte ve ihracata dayalı sözleşmeli yetiştiricilik sistemini benimsemektedir.</w:t>
      </w:r>
    </w:p>
    <w:p w:rsidR="00083AD4" w:rsidRDefault="00083AD4" w:rsidP="00083AD4">
      <w:pPr>
        <w:pStyle w:val="Balk2"/>
        <w:shd w:val="clear" w:color="auto" w:fill="F1F1F1"/>
        <w:spacing w:before="0" w:after="139"/>
        <w:rPr>
          <w:rFonts w:ascii="Arial" w:hAnsi="Arial" w:cs="Arial"/>
          <w:color w:val="09376B"/>
          <w:sz w:val="24"/>
          <w:szCs w:val="24"/>
        </w:rPr>
      </w:pPr>
      <w:r>
        <w:rPr>
          <w:rFonts w:ascii="Arial" w:hAnsi="Arial" w:cs="Arial"/>
          <w:color w:val="09376B"/>
          <w:sz w:val="24"/>
          <w:szCs w:val="24"/>
        </w:rPr>
        <w:t>Pazar ile İlgili Bilgiler</w:t>
      </w:r>
    </w:p>
    <w:p w:rsidR="00083AD4" w:rsidRPr="00C45CDD" w:rsidRDefault="00083AD4" w:rsidP="00083AD4">
      <w:pPr>
        <w:pStyle w:val="Balk4"/>
        <w:spacing w:before="0" w:beforeAutospacing="0"/>
        <w:jc w:val="both"/>
        <w:rPr>
          <w:bCs w:val="0"/>
          <w:i/>
          <w:color w:val="212529"/>
          <w:u w:val="single"/>
        </w:rPr>
      </w:pPr>
      <w:r w:rsidRPr="00C45CDD">
        <w:rPr>
          <w:bCs w:val="0"/>
          <w:i/>
          <w:color w:val="212529"/>
          <w:u w:val="single"/>
        </w:rPr>
        <w:t>Fikri ve </w:t>
      </w:r>
      <w:proofErr w:type="gramStart"/>
      <w:r w:rsidRPr="00C45CDD">
        <w:rPr>
          <w:bCs w:val="0"/>
          <w:i/>
          <w:color w:val="212529"/>
          <w:u w:val="single"/>
        </w:rPr>
        <w:t>Sınai</w:t>
      </w:r>
      <w:proofErr w:type="gramEnd"/>
      <w:r w:rsidRPr="00C45CDD">
        <w:rPr>
          <w:bCs w:val="0"/>
          <w:i/>
          <w:color w:val="212529"/>
          <w:u w:val="single"/>
        </w:rPr>
        <w:t xml:space="preserve"> Mülkiyet Hakları</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İtalya, Endüstriyel Mülkiyetin Korunmasına ilişkin Paris Sözleşmesi’ne taraf olmanın yanı sıra Dünya Fikri Mülkiyet Örgütü (WIPO) üyesidir. Ülkenin iç mevzuatındaki fikri mülkiyet konuları Avrupa Patent Sözleşmesi (Münih Sözleşmesi) ile uyumludur. </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Ülkedeki patent uygulamaları Avrupa Patent Kurumu (</w:t>
      </w:r>
      <w:proofErr w:type="spellStart"/>
      <w:r w:rsidRPr="00C45CDD">
        <w:rPr>
          <w:i/>
          <w:color w:val="212529"/>
          <w:sz w:val="16"/>
          <w:szCs w:val="16"/>
        </w:rPr>
        <w:t>European</w:t>
      </w:r>
      <w:proofErr w:type="spellEnd"/>
      <w:r w:rsidRPr="00C45CDD">
        <w:rPr>
          <w:i/>
          <w:color w:val="212529"/>
          <w:sz w:val="16"/>
          <w:szCs w:val="16"/>
        </w:rPr>
        <w:t xml:space="preserve"> Patent </w:t>
      </w:r>
      <w:proofErr w:type="spellStart"/>
      <w:r w:rsidRPr="00C45CDD">
        <w:rPr>
          <w:i/>
          <w:color w:val="212529"/>
          <w:sz w:val="16"/>
          <w:szCs w:val="16"/>
        </w:rPr>
        <w:t>Organization</w:t>
      </w:r>
      <w:proofErr w:type="spellEnd"/>
      <w:r w:rsidRPr="00C45CDD">
        <w:rPr>
          <w:i/>
          <w:color w:val="212529"/>
          <w:sz w:val="16"/>
          <w:szCs w:val="16"/>
        </w:rPr>
        <w:t>) tarafından yürütülmektedir.</w:t>
      </w:r>
    </w:p>
    <w:p w:rsidR="00083AD4" w:rsidRPr="00C45CDD" w:rsidRDefault="00083AD4" w:rsidP="00083AD4">
      <w:pPr>
        <w:pStyle w:val="Balk4"/>
        <w:spacing w:before="0" w:beforeAutospacing="0"/>
        <w:jc w:val="both"/>
        <w:rPr>
          <w:bCs w:val="0"/>
          <w:i/>
          <w:color w:val="212529"/>
          <w:u w:val="single"/>
        </w:rPr>
      </w:pPr>
      <w:r w:rsidRPr="00C45CDD">
        <w:rPr>
          <w:bCs w:val="0"/>
          <w:i/>
          <w:color w:val="212529"/>
          <w:u w:val="single"/>
        </w:rPr>
        <w:t>Tüketici Tercihleri</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Ülkede bölgesel ekonomik ve kültürel farklılıklar, tüketicilerin satın alma davranış ve alışkanlıklarının yanı sıra dağıtımcıların satın alma kararları ile pazarlama tekniklerini de etkilemektedir.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İtalyanların çoğunluğu geleneksel süpermarket ve sokak pazarlarında alışveriş yapmaktadırlar. Yaşanan ekonomik krizlerle İtalyan tüketiciler tutumlu harcama kültürü edinmişlerdir. Bu sebeple, tüketiciler indirimli marketlerden alışverişe yönelmiştir.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Marketlerin kendi isimleri ile pazarladıkları daha ucuz olan “</w:t>
      </w:r>
      <w:proofErr w:type="spellStart"/>
      <w:r w:rsidRPr="00C45CDD">
        <w:rPr>
          <w:i/>
          <w:color w:val="212529"/>
          <w:sz w:val="16"/>
          <w:szCs w:val="16"/>
        </w:rPr>
        <w:t>private</w:t>
      </w:r>
      <w:proofErr w:type="spellEnd"/>
      <w:r w:rsidRPr="00C45CDD">
        <w:rPr>
          <w:i/>
          <w:color w:val="212529"/>
          <w:sz w:val="16"/>
          <w:szCs w:val="16"/>
        </w:rPr>
        <w:t xml:space="preserve"> </w:t>
      </w:r>
      <w:proofErr w:type="spellStart"/>
      <w:r w:rsidRPr="00C45CDD">
        <w:rPr>
          <w:i/>
          <w:color w:val="212529"/>
          <w:sz w:val="16"/>
          <w:szCs w:val="16"/>
        </w:rPr>
        <w:t>label</w:t>
      </w:r>
      <w:proofErr w:type="spellEnd"/>
      <w:r w:rsidRPr="00C45CDD">
        <w:rPr>
          <w:i/>
          <w:color w:val="212529"/>
          <w:sz w:val="16"/>
          <w:szCs w:val="16"/>
        </w:rPr>
        <w:t>” ürünlere olan talebin arttığı görülmektedir. Lüks ürün satışları bu süreçten olumsuz olarak etkilenmektedir. Bununla beraber, orta ve uzun vadede mali durumları düzeldikçe İtalyan tüketicilerin eski tüketim alışkanlıklarına dönmesi beklenmektedir. Bu durum da markalı ürünlerin İtalyan pazarında orta ve uzun vadede daha çok tercih edileceğini göstermektedir.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Son dönemde İtalya’da hipermarket ve süpermarket sayısında artış olmuştur. Ürün çeşitliliği ve uzun çalışma saatleri sebebiyle tüketiciler tarafından gittikçe daha fazla tercih sebebi olan süpermarketler ayrıca internet üzerinden alışveriş seçeneği de sundukları için özellikle genç tüketiciler için uygun fırsatlar sunmaktadır.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Ayrıca, İtalyan tüketiciler için son dönemde gerek yemek gerekse yemek dışı tüketim ürünlerinde sağlıklı yaşam önem kazanmaktadır. Tüketicilerin son dönemde ülkede yaşanan kriz sebebiyle alım güçleri azalmış olsa da sağlıklı yaşam arzuları gün geçtikçe arttığı için spor malzemelere, sağlıklı yaşam, spor ve </w:t>
      </w:r>
      <w:proofErr w:type="spellStart"/>
      <w:r w:rsidRPr="00C45CDD">
        <w:rPr>
          <w:i/>
          <w:color w:val="212529"/>
          <w:sz w:val="16"/>
          <w:szCs w:val="16"/>
        </w:rPr>
        <w:t>fitness</w:t>
      </w:r>
      <w:proofErr w:type="spellEnd"/>
      <w:r w:rsidRPr="00C45CDD">
        <w:rPr>
          <w:i/>
          <w:color w:val="212529"/>
          <w:sz w:val="16"/>
          <w:szCs w:val="16"/>
        </w:rPr>
        <w:t xml:space="preserve"> salonlarına olan talep artmaktadır. Ayrıca, </w:t>
      </w:r>
      <w:proofErr w:type="spellStart"/>
      <w:r w:rsidRPr="00C45CDD">
        <w:rPr>
          <w:i/>
          <w:color w:val="212529"/>
          <w:sz w:val="16"/>
          <w:szCs w:val="16"/>
        </w:rPr>
        <w:t>obezite</w:t>
      </w:r>
      <w:proofErr w:type="spellEnd"/>
      <w:r w:rsidRPr="00C45CDD">
        <w:rPr>
          <w:i/>
          <w:color w:val="212529"/>
          <w:sz w:val="16"/>
          <w:szCs w:val="16"/>
        </w:rPr>
        <w:t xml:space="preserve"> sorunları yaygınlaştığı için diyet ürünlere eğilim de artış göstermektedir. Ülkedeki yaşlı sayısının artmasıyla vitaminlerin, yaşlılık karşıtı kozmetik ürünlerin ve saç kaybına karşı kozmetik ürünlerin talebinde de artış görülmektedir.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Hazır giyim ve ayakkabı sektöründe genç İtalyan tüketicilerde rahatlık ön plana çıkmaya başlamıştır. Modayı takip etme isteği daha çok yaşlı tüketicilerde görülmektedir. Ayrıca, genç neslin çalışma hayatının yoğunluğu ve uzun çalışma saatleri giyimde de internet üzerinden alışveriş alışkanlığında artışa sebep olmaktadır.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İtalya’da başta büyük şehirler olmak üzere kredi kartları yaygın biçimde kullanılmaktadır.</w:t>
      </w:r>
    </w:p>
    <w:p w:rsidR="00083AD4" w:rsidRPr="00C45CDD" w:rsidRDefault="00083AD4" w:rsidP="00083AD4">
      <w:pPr>
        <w:pStyle w:val="Balk4"/>
        <w:spacing w:before="0" w:beforeAutospacing="0"/>
        <w:jc w:val="both"/>
        <w:rPr>
          <w:bCs w:val="0"/>
          <w:i/>
          <w:color w:val="212529"/>
          <w:u w:val="single"/>
        </w:rPr>
      </w:pPr>
      <w:r w:rsidRPr="00C45CDD">
        <w:rPr>
          <w:bCs w:val="0"/>
          <w:i/>
          <w:color w:val="212529"/>
          <w:u w:val="single"/>
        </w:rPr>
        <w:t>Ambalaj, Paketleme ve Etiketleme</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Ülkede AB tarafından belirlenen zorunlu ve isteğe bağlı etiketleme kurallarının yanı sıra ulusal düzeyde isteğe bağlı etiketleme kuralları da uygulanmaktadır. Bu nedenle etiketleme ve belgeleme yükümlülüklerine ilişkin mevzuatın karmaşıklığı ve sık </w:t>
      </w:r>
      <w:proofErr w:type="spellStart"/>
      <w:r w:rsidRPr="00C45CDD">
        <w:rPr>
          <w:i/>
          <w:color w:val="212529"/>
          <w:sz w:val="16"/>
          <w:szCs w:val="16"/>
        </w:rPr>
        <w:t>sık</w:t>
      </w:r>
      <w:proofErr w:type="spellEnd"/>
      <w:r w:rsidRPr="00C45CDD">
        <w:rPr>
          <w:i/>
          <w:color w:val="212529"/>
          <w:sz w:val="16"/>
          <w:szCs w:val="16"/>
        </w:rPr>
        <w:t xml:space="preserve"> değişmesinden dolayı nakliye öncesinde ithalatçılardan uygun belgeleri talep etmek faydalı olacaktır.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AB belirli ürünlerin standart miktarda ambalajlanması için düzenleme yapmıştır. 80/232/EC </w:t>
      </w:r>
      <w:proofErr w:type="spellStart"/>
      <w:r w:rsidRPr="00C45CDD">
        <w:rPr>
          <w:i/>
          <w:color w:val="212529"/>
          <w:sz w:val="16"/>
          <w:szCs w:val="16"/>
        </w:rPr>
        <w:t>no’lu</w:t>
      </w:r>
      <w:proofErr w:type="spellEnd"/>
      <w:r w:rsidRPr="00C45CDD">
        <w:rPr>
          <w:i/>
          <w:color w:val="212529"/>
          <w:sz w:val="16"/>
          <w:szCs w:val="16"/>
        </w:rPr>
        <w:t xml:space="preserve"> Konsey Direktifi ürün ambalajlarının sahip olması gereken boyutları düzenlemektedir. İlgili direktife</w:t>
      </w:r>
      <w:r w:rsidRPr="00C45CDD">
        <w:rPr>
          <w:i/>
          <w:color w:val="212529"/>
          <w:sz w:val="16"/>
          <w:szCs w:val="16"/>
        </w:rPr>
        <w:br/>
      </w:r>
      <w:hyperlink r:id="rId6" w:history="1">
        <w:r w:rsidRPr="00C45CDD">
          <w:rPr>
            <w:rStyle w:val="Kpr"/>
            <w:i/>
            <w:color w:val="007BFF"/>
            <w:sz w:val="16"/>
            <w:szCs w:val="16"/>
          </w:rPr>
          <w:t>http://eur-lex.europa.eu/LexUriServ/LexUriServ.do?uri=CELEX:31980L0232:EN:HTML</w:t>
        </w:r>
      </w:hyperlink>
      <w:r w:rsidRPr="00C45CDD">
        <w:rPr>
          <w:i/>
          <w:color w:val="212529"/>
          <w:sz w:val="16"/>
          <w:szCs w:val="16"/>
        </w:rPr>
        <w:t> adresinden ulaşılabilir.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Tüketicilerin % 70’e varan önemli bir bölümü gıda ürünlerinin etiketlerini okumaktadır</w:t>
      </w:r>
    </w:p>
    <w:p w:rsidR="00C45CDD" w:rsidRDefault="00C45CDD" w:rsidP="00083AD4">
      <w:pPr>
        <w:pStyle w:val="Balk4"/>
        <w:spacing w:before="0" w:beforeAutospacing="0"/>
        <w:jc w:val="both"/>
        <w:rPr>
          <w:bCs w:val="0"/>
          <w:i/>
          <w:color w:val="212529"/>
          <w:sz w:val="28"/>
          <w:szCs w:val="28"/>
          <w:u w:val="single"/>
        </w:rPr>
      </w:pPr>
    </w:p>
    <w:p w:rsidR="00083AD4" w:rsidRPr="00C45CDD" w:rsidRDefault="00083AD4" w:rsidP="00083AD4">
      <w:pPr>
        <w:pStyle w:val="Balk4"/>
        <w:spacing w:before="0" w:beforeAutospacing="0"/>
        <w:jc w:val="both"/>
        <w:rPr>
          <w:bCs w:val="0"/>
          <w:i/>
          <w:color w:val="212529"/>
          <w:sz w:val="28"/>
          <w:szCs w:val="28"/>
          <w:u w:val="single"/>
        </w:rPr>
      </w:pPr>
      <w:r w:rsidRPr="00C45CDD">
        <w:rPr>
          <w:bCs w:val="0"/>
          <w:i/>
          <w:color w:val="212529"/>
          <w:sz w:val="28"/>
          <w:szCs w:val="28"/>
          <w:u w:val="single"/>
        </w:rPr>
        <w:t>Kamu İhaleleri</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İtalya’da kamu ihalelerine iştirak eden Türk firmaları, ülkemizin DTÖ Anlaşması çerçevesindeki Kamu Alımları Anlaşmasına taraf olmaması nedeniyle AB mevzuatında üçüncü ülke tedarikçilerine uygulanan bazı kısıtlamalardan etkilenmektedir. Özellikle altyapı, su, </w:t>
      </w:r>
      <w:r w:rsidRPr="00C45CDD">
        <w:rPr>
          <w:i/>
          <w:color w:val="212529"/>
          <w:sz w:val="16"/>
          <w:szCs w:val="16"/>
        </w:rPr>
        <w:lastRenderedPageBreak/>
        <w:t xml:space="preserve">elektrik ve </w:t>
      </w:r>
      <w:proofErr w:type="spellStart"/>
      <w:r w:rsidRPr="00C45CDD">
        <w:rPr>
          <w:i/>
          <w:color w:val="212529"/>
          <w:sz w:val="16"/>
          <w:szCs w:val="16"/>
        </w:rPr>
        <w:t>telekom</w:t>
      </w:r>
      <w:proofErr w:type="spellEnd"/>
      <w:r w:rsidRPr="00C45CDD">
        <w:rPr>
          <w:i/>
          <w:color w:val="212529"/>
          <w:sz w:val="16"/>
          <w:szCs w:val="16"/>
        </w:rPr>
        <w:t xml:space="preserve"> şebekelerinin inşa ve tedarik ihalelerinde AB mevzuatı çerçevesinde İtalyan kanunlarında da uygulanan % 50 yerli tedarik </w:t>
      </w:r>
      <w:proofErr w:type="gramStart"/>
      <w:r w:rsidRPr="00C45CDD">
        <w:rPr>
          <w:i/>
          <w:color w:val="212529"/>
          <w:sz w:val="16"/>
          <w:szCs w:val="16"/>
        </w:rPr>
        <w:t>kriteri</w:t>
      </w:r>
      <w:proofErr w:type="gramEnd"/>
      <w:r w:rsidRPr="00C45CDD">
        <w:rPr>
          <w:i/>
          <w:color w:val="212529"/>
          <w:sz w:val="16"/>
          <w:szCs w:val="16"/>
        </w:rPr>
        <w:t xml:space="preserve"> uygulanmaktadır. </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Ayrıca, kamu ihaleleri verilişine ilişkin usul ve esaslar AB direktifleri çerçevesinde hazırlanmış 11.02.1994 tarih ve 109 sayılı Kamu İhaleleri Çerçeve Kanunu ile belirlenmiştir. Söz konusu kanun 1999’da yürürlüğe giren uygulama esasları ve 2000 yılında yürürlüğe giren 554 sayılı uygulama kanunu ile bazı değişikliklere uğramıştır. Söz konusu mevzuat AB’nin belirlediği limit olan 5 milyon avronun altındaki ve üstündeki tüm iş ihalelerine uygulanmaktadır.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Bunun yanı sıra eyalet ihale kanunları ve konuya ilişkin belediye yönetmelikleri de uygulanmaktadır. Teknik </w:t>
      </w:r>
      <w:proofErr w:type="spellStart"/>
      <w:r w:rsidRPr="00C45CDD">
        <w:rPr>
          <w:i/>
          <w:color w:val="212529"/>
          <w:sz w:val="16"/>
          <w:szCs w:val="16"/>
        </w:rPr>
        <w:t>spesifikasyonlar</w:t>
      </w:r>
      <w:proofErr w:type="spellEnd"/>
      <w:r w:rsidRPr="00C45CDD">
        <w:rPr>
          <w:i/>
          <w:color w:val="212529"/>
          <w:sz w:val="16"/>
          <w:szCs w:val="16"/>
        </w:rPr>
        <w:t xml:space="preserve"> konusunda eyaletlerin münferit düzenlemeleri özellikle dikkate alınmalıdır. Hizmet ve tedarik ihalelerinde AB sınırı 200 bin avro olup ihalenin bakanlıklar tarafından açılması halinde bu sınır 130 bin avrodur. Söz konusu ihaleler AB limitinin üstünde ve altında olmalarına göre farklı mevzuata tabi bulunmaktadır.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 xml:space="preserve">Bu çerçevede, ihalelerin kamuya duyurulmasında takip edilen </w:t>
      </w:r>
      <w:proofErr w:type="gramStart"/>
      <w:r w:rsidRPr="00C45CDD">
        <w:rPr>
          <w:i/>
          <w:color w:val="212529"/>
          <w:sz w:val="16"/>
          <w:szCs w:val="16"/>
        </w:rPr>
        <w:t>prosedür</w:t>
      </w:r>
      <w:proofErr w:type="gramEnd"/>
      <w:r w:rsidRPr="00C45CDD">
        <w:rPr>
          <w:i/>
          <w:color w:val="212529"/>
          <w:sz w:val="16"/>
          <w:szCs w:val="16"/>
        </w:rPr>
        <w:t xml:space="preserve"> de farklılaşmaktadır (7.5.2003 tarih ve 520 sayılı yazımızda açıklanan esaslar çerçevesinde yayımlanmaktadır). İtalya’da Kamu ihalelerinin serbest rekabet koşulları ve AB hukuku çerçevesinde idaresini sağlamak Kamu İhaleleri Gözetim </w:t>
      </w:r>
      <w:proofErr w:type="spellStart"/>
      <w:r w:rsidRPr="00C45CDD">
        <w:rPr>
          <w:i/>
          <w:color w:val="212529"/>
          <w:sz w:val="16"/>
          <w:szCs w:val="16"/>
        </w:rPr>
        <w:t>Otorıtesi</w:t>
      </w:r>
      <w:proofErr w:type="spellEnd"/>
      <w:r w:rsidRPr="00C45CDD">
        <w:rPr>
          <w:i/>
          <w:color w:val="212529"/>
          <w:sz w:val="16"/>
          <w:szCs w:val="16"/>
        </w:rPr>
        <w:t xml:space="preserve"> (</w:t>
      </w:r>
      <w:proofErr w:type="spellStart"/>
      <w:r w:rsidRPr="00C45CDD">
        <w:rPr>
          <w:i/>
          <w:color w:val="212529"/>
          <w:sz w:val="16"/>
          <w:szCs w:val="16"/>
        </w:rPr>
        <w:t>Autorita</w:t>
      </w:r>
      <w:proofErr w:type="spellEnd"/>
      <w:r w:rsidRPr="00C45CDD">
        <w:rPr>
          <w:i/>
          <w:color w:val="212529"/>
          <w:sz w:val="16"/>
          <w:szCs w:val="16"/>
        </w:rPr>
        <w:t xml:space="preserve"> </w:t>
      </w:r>
      <w:proofErr w:type="spellStart"/>
      <w:r w:rsidRPr="00C45CDD">
        <w:rPr>
          <w:i/>
          <w:color w:val="212529"/>
          <w:sz w:val="16"/>
          <w:szCs w:val="16"/>
        </w:rPr>
        <w:t>Vigilanza</w:t>
      </w:r>
      <w:proofErr w:type="spellEnd"/>
      <w:r w:rsidRPr="00C45CDD">
        <w:rPr>
          <w:i/>
          <w:color w:val="212529"/>
          <w:sz w:val="16"/>
          <w:szCs w:val="16"/>
        </w:rPr>
        <w:t xml:space="preserve"> </w:t>
      </w:r>
      <w:proofErr w:type="spellStart"/>
      <w:r w:rsidRPr="00C45CDD">
        <w:rPr>
          <w:i/>
          <w:color w:val="212529"/>
          <w:sz w:val="16"/>
          <w:szCs w:val="16"/>
        </w:rPr>
        <w:t>Dei</w:t>
      </w:r>
      <w:proofErr w:type="spellEnd"/>
      <w:r w:rsidRPr="00C45CDD">
        <w:rPr>
          <w:i/>
          <w:color w:val="212529"/>
          <w:sz w:val="16"/>
          <w:szCs w:val="16"/>
        </w:rPr>
        <w:t xml:space="preserve"> </w:t>
      </w:r>
      <w:proofErr w:type="spellStart"/>
      <w:r w:rsidRPr="00C45CDD">
        <w:rPr>
          <w:i/>
          <w:color w:val="212529"/>
          <w:sz w:val="16"/>
          <w:szCs w:val="16"/>
        </w:rPr>
        <w:t>Lavori</w:t>
      </w:r>
      <w:proofErr w:type="spellEnd"/>
      <w:r w:rsidRPr="00C45CDD">
        <w:rPr>
          <w:i/>
          <w:color w:val="212529"/>
          <w:sz w:val="16"/>
          <w:szCs w:val="16"/>
        </w:rPr>
        <w:t xml:space="preserve"> </w:t>
      </w:r>
      <w:proofErr w:type="spellStart"/>
      <w:r w:rsidRPr="00C45CDD">
        <w:rPr>
          <w:i/>
          <w:color w:val="212529"/>
          <w:sz w:val="16"/>
          <w:szCs w:val="16"/>
        </w:rPr>
        <w:t>Publici</w:t>
      </w:r>
      <w:proofErr w:type="spellEnd"/>
      <w:r w:rsidRPr="00C45CDD">
        <w:rPr>
          <w:i/>
          <w:color w:val="212529"/>
          <w:sz w:val="16"/>
          <w:szCs w:val="16"/>
        </w:rPr>
        <w:t>)’</w:t>
      </w:r>
      <w:proofErr w:type="spellStart"/>
      <w:r w:rsidRPr="00C45CDD">
        <w:rPr>
          <w:i/>
          <w:color w:val="212529"/>
          <w:sz w:val="16"/>
          <w:szCs w:val="16"/>
        </w:rPr>
        <w:t>nin</w:t>
      </w:r>
      <w:proofErr w:type="spellEnd"/>
      <w:r w:rsidRPr="00C45CDD">
        <w:rPr>
          <w:i/>
          <w:color w:val="212529"/>
          <w:sz w:val="16"/>
          <w:szCs w:val="16"/>
        </w:rPr>
        <w:t xml:space="preserve"> yetkisindedir.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Kamu ihalelerine katılabilmek için yetkilendirme kuruluşları birliğinden SOA (</w:t>
      </w:r>
      <w:proofErr w:type="spellStart"/>
      <w:r w:rsidRPr="00C45CDD">
        <w:rPr>
          <w:i/>
          <w:color w:val="212529"/>
          <w:sz w:val="16"/>
          <w:szCs w:val="16"/>
        </w:rPr>
        <w:t>Societa</w:t>
      </w:r>
      <w:proofErr w:type="spellEnd"/>
      <w:r w:rsidRPr="00C45CDD">
        <w:rPr>
          <w:i/>
          <w:color w:val="212529"/>
          <w:sz w:val="16"/>
          <w:szCs w:val="16"/>
        </w:rPr>
        <w:t xml:space="preserve">' </w:t>
      </w:r>
      <w:proofErr w:type="spellStart"/>
      <w:r w:rsidRPr="00C45CDD">
        <w:rPr>
          <w:i/>
          <w:color w:val="212529"/>
          <w:sz w:val="16"/>
          <w:szCs w:val="16"/>
        </w:rPr>
        <w:t>Organismi</w:t>
      </w:r>
      <w:proofErr w:type="spellEnd"/>
      <w:r w:rsidRPr="00C45CDD">
        <w:rPr>
          <w:i/>
          <w:color w:val="212529"/>
          <w:sz w:val="16"/>
          <w:szCs w:val="16"/>
        </w:rPr>
        <w:t xml:space="preserve"> </w:t>
      </w:r>
      <w:proofErr w:type="spellStart"/>
      <w:r w:rsidRPr="00C45CDD">
        <w:rPr>
          <w:i/>
          <w:color w:val="212529"/>
          <w:sz w:val="16"/>
          <w:szCs w:val="16"/>
        </w:rPr>
        <w:t>di</w:t>
      </w:r>
      <w:proofErr w:type="spellEnd"/>
      <w:r w:rsidRPr="00C45CDD">
        <w:rPr>
          <w:i/>
          <w:color w:val="212529"/>
          <w:sz w:val="16"/>
          <w:szCs w:val="16"/>
        </w:rPr>
        <w:t xml:space="preserve"> </w:t>
      </w:r>
      <w:proofErr w:type="spellStart"/>
      <w:r w:rsidRPr="00C45CDD">
        <w:rPr>
          <w:i/>
          <w:color w:val="212529"/>
          <w:sz w:val="16"/>
          <w:szCs w:val="16"/>
        </w:rPr>
        <w:t>Attestazione</w:t>
      </w:r>
      <w:proofErr w:type="spellEnd"/>
      <w:r w:rsidRPr="00C45CDD">
        <w:rPr>
          <w:i/>
          <w:color w:val="212529"/>
          <w:sz w:val="16"/>
          <w:szCs w:val="16"/>
        </w:rPr>
        <w:t>) yeterlilik belgesi alınması gerekmektedir. 150 bin avronun üzerindeki ihalelere katılabilinmesi söz konusu belgenin alınması ve yetkilendirilmiş şirket statüsüne sahip olunmasını gerektirmektedir. Kamu ihalelerine girme yeterliliğine sahip firmaların ülke ve eyaletler düzeyinde kaydı tutulmaktadır.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SOA tarafından yeterliliğin belgelendirilebilmesi için firmaların, UNI CEI EN 45000 normuna akredite kuruluşlardan UNI EN ISO 9000 normlarına uygun kalite sistemini haiz olduğunu belgelendirmesi gerekmektedir.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Şirketler için genel kategori, ihtisaslaşmış işler, inşaat işleri, proje ve inşaat hizmetleri sınıflandırmaları bazında yeterlilik verilmekte, her bir sınıf ayrıca meblağ ve seviyelerine göre alt kategorilere ayrılmaktadır. SOA tarafından verilen yeterlilik belgelerinin süresi 3 yıldır. Söz konusu belgelendirme faaliyetleri Kamu İhalesi Otoritesinin iznine tabidir. Kontrol otoritesi izin verdiği şirketlerin listesini yayınlar.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150 bin avronun altındaki ihaleler için kayıt şartı olmayıp genel mevzuata tabidir. İtalya’da mevcut 20 bölge idaresi ve bakanlıklarca inşaat, hizmet ve tedarik olmak üzere, çeşitli sektör ve konularda çok sayıda ihale açılmaktadır. Söz konusu ihalelerle tüm bilgilerin aşağıdaki internet sitelerinde yer alan veri bankalarından güncel bir biçimde ücretsiz olarak takip edilerek bilgi edinilmesi mümkün bulunmaktadır.</w:t>
      </w:r>
    </w:p>
    <w:p w:rsidR="00083AD4" w:rsidRDefault="00083AD4" w:rsidP="00083AD4">
      <w:pPr>
        <w:pStyle w:val="Balk2"/>
        <w:shd w:val="clear" w:color="auto" w:fill="F1F1F1"/>
        <w:spacing w:before="0" w:after="139"/>
        <w:rPr>
          <w:rFonts w:ascii="Arial" w:hAnsi="Arial" w:cs="Arial"/>
          <w:color w:val="09376B"/>
          <w:sz w:val="24"/>
          <w:szCs w:val="24"/>
        </w:rPr>
      </w:pPr>
      <w:r>
        <w:rPr>
          <w:rFonts w:ascii="Arial" w:hAnsi="Arial" w:cs="Arial"/>
          <w:color w:val="09376B"/>
          <w:sz w:val="24"/>
          <w:szCs w:val="24"/>
        </w:rPr>
        <w:t>İşadamlarının Pazarda Dikkat Etmesi Gereken Hususlar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Firmalarımız, kendi markalarıyla mı yoksa “</w:t>
      </w:r>
      <w:proofErr w:type="spellStart"/>
      <w:r w:rsidRPr="00C45CDD">
        <w:rPr>
          <w:i/>
          <w:color w:val="212529"/>
          <w:sz w:val="16"/>
          <w:szCs w:val="16"/>
        </w:rPr>
        <w:t>private</w:t>
      </w:r>
      <w:proofErr w:type="spellEnd"/>
      <w:r w:rsidRPr="00C45CDD">
        <w:rPr>
          <w:i/>
          <w:color w:val="212529"/>
          <w:sz w:val="16"/>
          <w:szCs w:val="16"/>
        </w:rPr>
        <w:t xml:space="preserve"> </w:t>
      </w:r>
      <w:proofErr w:type="spellStart"/>
      <w:r w:rsidRPr="00C45CDD">
        <w:rPr>
          <w:i/>
          <w:color w:val="212529"/>
          <w:sz w:val="16"/>
          <w:szCs w:val="16"/>
        </w:rPr>
        <w:t>labeling</w:t>
      </w:r>
      <w:proofErr w:type="spellEnd"/>
      <w:r w:rsidRPr="00C45CDD">
        <w:rPr>
          <w:i/>
          <w:color w:val="212529"/>
          <w:sz w:val="16"/>
          <w:szCs w:val="16"/>
        </w:rPr>
        <w:t xml:space="preserve">” ile mi pazara gireceklerine karar verdikten sonra, ürünlerine ilişkin pazar araştırmasını dikkatli yapmalı, iş modelini doğru seçmelidirler </w:t>
      </w:r>
      <w:proofErr w:type="gramStart"/>
      <w:r w:rsidRPr="00C45CDD">
        <w:rPr>
          <w:i/>
          <w:color w:val="212529"/>
          <w:sz w:val="16"/>
          <w:szCs w:val="16"/>
        </w:rPr>
        <w:t>(</w:t>
      </w:r>
      <w:proofErr w:type="gramEnd"/>
      <w:r w:rsidRPr="00C45CDD">
        <w:rPr>
          <w:i/>
          <w:color w:val="212529"/>
          <w:sz w:val="16"/>
          <w:szCs w:val="16"/>
        </w:rPr>
        <w:t xml:space="preserve">şirket mi? mağaza mı? </w:t>
      </w:r>
      <w:proofErr w:type="gramStart"/>
      <w:r w:rsidRPr="00C45CDD">
        <w:rPr>
          <w:i/>
          <w:color w:val="212529"/>
          <w:sz w:val="16"/>
          <w:szCs w:val="16"/>
        </w:rPr>
        <w:t>distribütör</w:t>
      </w:r>
      <w:proofErr w:type="gramEnd"/>
      <w:r w:rsidRPr="00C45CDD">
        <w:rPr>
          <w:i/>
          <w:color w:val="212529"/>
          <w:sz w:val="16"/>
          <w:szCs w:val="16"/>
        </w:rPr>
        <w:t>, acente ya da temsilcilik ofisi mi?).</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Doğru ortak ya da temsilci ile çalışılmasına, tüm iş akitlerinin yazılı sözleşmelerle yapılmasına dikkat edilmeli, mali ve hukuki danışmanlık alınmalı, dolandırıcılık olaylarına karşı dikkatli olunmalı ve gerekirse ticari istihbarat satın alınmalıdır.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Firmalarımızın İtalyan firmaları ile iş yaparken kalıcılık ve istikrar mesajı vermeleri, iş kültüründe benzerlikler olduğu kadar farklılıklar olduğunu da unutmamaları gerekmektedir.</w:t>
      </w:r>
    </w:p>
    <w:p w:rsidR="00083AD4" w:rsidRPr="00C45CDD" w:rsidRDefault="00083AD4" w:rsidP="00083AD4">
      <w:pPr>
        <w:pStyle w:val="NormalWeb"/>
        <w:spacing w:before="0" w:beforeAutospacing="0"/>
        <w:jc w:val="both"/>
        <w:rPr>
          <w:i/>
          <w:color w:val="212529"/>
          <w:sz w:val="16"/>
          <w:szCs w:val="16"/>
        </w:rPr>
      </w:pPr>
      <w:r w:rsidRPr="00C45CDD">
        <w:rPr>
          <w:i/>
          <w:color w:val="212529"/>
          <w:sz w:val="16"/>
          <w:szCs w:val="16"/>
        </w:rPr>
        <w:t>İtalya iş kültüründe fuar katılımları hala önemini korumakta olup, İtalyan firmalarının tercihlerinde etkili bir unsuru oluşturmaktadır.</w:t>
      </w:r>
    </w:p>
    <w:p w:rsidR="009A5170" w:rsidRPr="00C45CDD" w:rsidRDefault="009A5170" w:rsidP="009A5170">
      <w:pPr>
        <w:pStyle w:val="Balk4"/>
        <w:spacing w:before="0" w:beforeAutospacing="0"/>
        <w:jc w:val="both"/>
        <w:rPr>
          <w:bCs w:val="0"/>
          <w:i/>
          <w:color w:val="212529"/>
          <w:sz w:val="28"/>
          <w:szCs w:val="28"/>
          <w:u w:val="single"/>
        </w:rPr>
      </w:pPr>
      <w:r w:rsidRPr="00C45CDD">
        <w:rPr>
          <w:bCs w:val="0"/>
          <w:i/>
          <w:color w:val="212529"/>
          <w:sz w:val="28"/>
          <w:szCs w:val="28"/>
          <w:u w:val="single"/>
        </w:rPr>
        <w:t>Ticareti Etkileyen Kültürel Faktörler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İtalyanların büyük çoğunluğu iyi İngilizce konuşamamaktadır. Bu nedenle iş görüşmesi sırasında firmaların tercüman bulundurması gerekebilir. </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Kartvizitlerin bir tarafının Türkçe veya İngilizce diğer tarafının ise İtalyanca olmasına önem verilmektedir.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İtalyan iş kültüründe "dakik olma" birincil önem verilen bir konu değildir. Yine de ziyaretçi olarak görüşmelerde zamanında bulunmak iyi bir davranış olacaktır. Ancak İtalyanların görüşmeye gecikebileceklerini her zaman göz önünde bulundurmak gerekmektedir.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Yaz tatili ve resmi tatil günlerinden mutlaka haberdar olunması gerekmektedir. Birçok firma Ağustos ayının büyük bölümünde kapalıdır. Çoğu ülkeden daha fazla resmi tatile sahip olan İtalya'da iş ziyaretlerinin bu dönemlere rastlamaması önem taşımaktadır.</w:t>
      </w:r>
    </w:p>
    <w:p w:rsidR="00C45CDD" w:rsidRDefault="00C45CDD" w:rsidP="009A5170">
      <w:pPr>
        <w:pStyle w:val="Balk4"/>
        <w:spacing w:before="0" w:beforeAutospacing="0"/>
        <w:jc w:val="both"/>
        <w:rPr>
          <w:bCs w:val="0"/>
          <w:i/>
          <w:color w:val="212529"/>
          <w:u w:val="single"/>
        </w:rPr>
      </w:pPr>
    </w:p>
    <w:p w:rsidR="009A5170" w:rsidRPr="00C45CDD" w:rsidRDefault="009A5170" w:rsidP="009A5170">
      <w:pPr>
        <w:pStyle w:val="Balk4"/>
        <w:spacing w:before="0" w:beforeAutospacing="0"/>
        <w:jc w:val="both"/>
        <w:rPr>
          <w:bCs w:val="0"/>
          <w:i/>
          <w:color w:val="212529"/>
          <w:sz w:val="28"/>
          <w:szCs w:val="28"/>
          <w:u w:val="single"/>
        </w:rPr>
      </w:pPr>
      <w:r w:rsidRPr="00C45CDD">
        <w:rPr>
          <w:bCs w:val="0"/>
          <w:i/>
          <w:color w:val="212529"/>
          <w:sz w:val="28"/>
          <w:szCs w:val="28"/>
          <w:u w:val="single"/>
        </w:rPr>
        <w:t>Pasaport ve Vize İşlemleri</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lastRenderedPageBreak/>
        <w:t>Ülkeye girişte, Avrupa Birliği vatandaşları için pasaport ya da nüfus cüzdanı yeterlidir. Diğer ülke vatandaşlarından istenilen belgeler, yasal geçerlilik taşıyan bir pasaport ve İtalyan Büyükelçiliği veya konsolosluklarından alınmış geçici giriş veya oturma vizeleridir.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Vize uygulamasının olmadığı ülke vatandaşları için 90 günü aşmamak ve çalışmamak kaydıyla geçici giriş hakkı mevcuttur.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Umuma Mahsus Pasaport hamilleri vizeye tabidir.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Diplomatik, Hizmet ve Hususi Pasaport hamilleri ise 180 gün içinde 90 günü aşmamak kaydıyla, anılan ülkeye yapacakları seyahatlerinde vizeden muaftır. (Vatikan için de geçerlidir).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İtalya’ya giriş vizelerinin türü, mevzuatı ve şartları ile ilgili genel bilgiler, İtalyan Dışişleri Bakanlığının (</w:t>
      </w:r>
      <w:hyperlink r:id="rId7" w:history="1">
        <w:r w:rsidRPr="00C45CDD">
          <w:rPr>
            <w:rStyle w:val="Kpr"/>
            <w:i/>
            <w:color w:val="007BFF"/>
            <w:sz w:val="16"/>
            <w:szCs w:val="16"/>
          </w:rPr>
          <w:t>http://www.esteri.it/visti/index_eng.asp</w:t>
        </w:r>
      </w:hyperlink>
      <w:r w:rsidRPr="00C45CDD">
        <w:rPr>
          <w:i/>
          <w:color w:val="212529"/>
          <w:sz w:val="16"/>
          <w:szCs w:val="16"/>
        </w:rPr>
        <w:t>) sitesinde mevcuttur.</w:t>
      </w:r>
      <w:r w:rsidRPr="00C45CDD">
        <w:rPr>
          <w:i/>
          <w:color w:val="212529"/>
          <w:sz w:val="16"/>
          <w:szCs w:val="16"/>
        </w:rPr>
        <w:br/>
      </w:r>
      <w:r w:rsidRPr="00C45CDD">
        <w:rPr>
          <w:i/>
          <w:color w:val="212529"/>
          <w:sz w:val="16"/>
          <w:szCs w:val="16"/>
        </w:rPr>
        <w:br/>
      </w:r>
      <w:proofErr w:type="gramStart"/>
      <w:r w:rsidRPr="00C45CDD">
        <w:rPr>
          <w:i/>
          <w:color w:val="212529"/>
          <w:sz w:val="16"/>
          <w:szCs w:val="16"/>
        </w:rPr>
        <w:t>İtalya’nın Ankara Büyükelçiliğinde vize talebinde bulunmak isteyen ve Büyükelçiliğin konsolosluk sorumluluk bölgesinde (Ankara, Kütahya, Eskişehir, Düzce, Bolu, Zonguldak, Bartın, Karabük, Kastamonu, Çankırı, Kırıkkale, Kırşehir, Yozgat, Nevşehir) ikamet eden Türk ve Yabancı vatandaşlar, önceden randevu almaksızın, IDATA Ankara (telefon: +90 312 466 74 64, faks: +90 312 466 74 65) (</w:t>
      </w:r>
      <w:hyperlink r:id="rId8" w:history="1">
        <w:r w:rsidRPr="00C45CDD">
          <w:rPr>
            <w:rStyle w:val="Kpr"/>
            <w:i/>
            <w:color w:val="007BFF"/>
            <w:sz w:val="16"/>
            <w:szCs w:val="16"/>
          </w:rPr>
          <w:t>http://www.idata.com.tr/tr/</w:t>
        </w:r>
      </w:hyperlink>
      <w:r w:rsidRPr="00C45CDD">
        <w:rPr>
          <w:i/>
          <w:color w:val="212529"/>
          <w:sz w:val="16"/>
          <w:szCs w:val="16"/>
        </w:rPr>
        <w:t>) şirketinin sunduğu hizmetlerden faydalanabilir ve bilgi edinebilir.</w:t>
      </w:r>
      <w:proofErr w:type="gramEnd"/>
    </w:p>
    <w:p w:rsidR="009A5170" w:rsidRDefault="009A5170" w:rsidP="009A5170">
      <w:pPr>
        <w:pStyle w:val="NormalWeb"/>
        <w:spacing w:before="0" w:beforeAutospacing="0"/>
        <w:jc w:val="both"/>
        <w:rPr>
          <w:i/>
          <w:color w:val="212529"/>
          <w:sz w:val="20"/>
          <w:szCs w:val="20"/>
        </w:rPr>
      </w:pPr>
      <w:r w:rsidRPr="00C45CDD">
        <w:rPr>
          <w:i/>
          <w:color w:val="212529"/>
          <w:sz w:val="16"/>
          <w:szCs w:val="16"/>
        </w:rPr>
        <w:t>IDATA, vize taleplerini kabul etmekle yetkilendirilmiş özel bir şirkettir. Vize taleplerinin değerlendirilmesi ve karara bağlanması Büyükelçiliğinin yetkisindedir.</w:t>
      </w:r>
      <w:r w:rsidRPr="00C45CDD">
        <w:rPr>
          <w:i/>
          <w:color w:val="212529"/>
          <w:sz w:val="16"/>
          <w:szCs w:val="16"/>
        </w:rPr>
        <w:br/>
      </w:r>
      <w:r w:rsidRPr="00C45CDD">
        <w:rPr>
          <w:i/>
          <w:color w:val="212529"/>
          <w:sz w:val="16"/>
          <w:szCs w:val="16"/>
        </w:rPr>
        <w:br/>
        <w:t>Bunun yanı sıra kullanıcılar, Büyükelçiliğinin Vize Bölümüne doğrudan vize başvurusunda bulunmak ya da bilgi edinmek için, </w:t>
      </w:r>
      <w:hyperlink r:id="rId9" w:history="1">
        <w:r w:rsidRPr="00C45CDD">
          <w:rPr>
            <w:rStyle w:val="Kpr"/>
            <w:i/>
            <w:color w:val="007BFF"/>
            <w:sz w:val="16"/>
            <w:szCs w:val="16"/>
          </w:rPr>
          <w:t>visti.ambankara@esteri.it</w:t>
        </w:r>
      </w:hyperlink>
      <w:r w:rsidRPr="00C45CDD">
        <w:rPr>
          <w:i/>
          <w:color w:val="212529"/>
          <w:sz w:val="16"/>
          <w:szCs w:val="16"/>
        </w:rPr>
        <w:t> elektronik posta adresinden randevu alabilirler. İtalyan ve AB vatandaşlarının aile fertlerinin doğrudan Büyükelçilikten randevu almaları gerekmektedir.</w:t>
      </w:r>
      <w:r w:rsidRPr="00C45CDD">
        <w:rPr>
          <w:i/>
          <w:color w:val="212529"/>
          <w:sz w:val="16"/>
          <w:szCs w:val="16"/>
        </w:rPr>
        <w:br/>
      </w:r>
      <w:r w:rsidRPr="00C45CDD">
        <w:rPr>
          <w:i/>
          <w:color w:val="212529"/>
          <w:sz w:val="16"/>
          <w:szCs w:val="16"/>
        </w:rPr>
        <w:br/>
        <w:t>Vize talebinin ücretlendirilmesine dair idari harç bedeli, vize talebinin ibrazı anında Türk Lirası cinsinden ve nakit olarak ödenmelidir. Beher vize türüne ait mevcut tarifeler (</w:t>
      </w:r>
      <w:hyperlink r:id="rId10" w:history="1">
        <w:r w:rsidRPr="00C45CDD">
          <w:rPr>
            <w:rStyle w:val="Kpr"/>
            <w:i/>
            <w:color w:val="007BFF"/>
            <w:sz w:val="16"/>
            <w:szCs w:val="16"/>
          </w:rPr>
          <w:t>http://www.esteri.it/visti/costi_eng.asp</w:t>
        </w:r>
      </w:hyperlink>
      <w:r w:rsidRPr="00C45CDD">
        <w:rPr>
          <w:i/>
          <w:color w:val="212529"/>
          <w:sz w:val="16"/>
          <w:szCs w:val="16"/>
        </w:rPr>
        <w:t>) linkinden öğrenilebilir.</w:t>
      </w:r>
      <w:r w:rsidRPr="00C45CDD">
        <w:rPr>
          <w:i/>
          <w:color w:val="212529"/>
          <w:sz w:val="16"/>
          <w:szCs w:val="16"/>
        </w:rPr>
        <w:br/>
      </w:r>
      <w:r w:rsidRPr="00C45CDD">
        <w:rPr>
          <w:i/>
          <w:color w:val="212529"/>
          <w:sz w:val="16"/>
          <w:szCs w:val="16"/>
        </w:rPr>
        <w:br/>
        <w:t>Vize talebinin, öngörülen seyahat tarihinden asgari üç hafta öncesinden yapılması tavsiye olunur. Vizenin tanzimi ortalama olarak 10 (on) iş gününde yapılabilmektedir; ancak bu süre, talep edenin tabiiyetine, sezon yoğunluğuna ve talep edilen vize türüne göre değişiklik sergileyebilmektedir</w:t>
      </w:r>
      <w:r w:rsidRPr="009A5170">
        <w:rPr>
          <w:i/>
          <w:color w:val="212529"/>
          <w:sz w:val="20"/>
          <w:szCs w:val="20"/>
        </w:rPr>
        <w:t>.</w:t>
      </w:r>
    </w:p>
    <w:p w:rsidR="009A5170" w:rsidRPr="00C45CDD" w:rsidRDefault="009A5170" w:rsidP="009A5170">
      <w:pPr>
        <w:pStyle w:val="Balk4"/>
        <w:spacing w:before="0" w:beforeAutospacing="0"/>
        <w:jc w:val="both"/>
        <w:rPr>
          <w:bCs w:val="0"/>
          <w:i/>
          <w:color w:val="212529"/>
          <w:sz w:val="28"/>
          <w:szCs w:val="28"/>
          <w:u w:val="single"/>
        </w:rPr>
      </w:pPr>
      <w:r w:rsidRPr="00C45CDD">
        <w:rPr>
          <w:bCs w:val="0"/>
          <w:i/>
          <w:color w:val="212529"/>
          <w:sz w:val="28"/>
          <w:szCs w:val="28"/>
          <w:u w:val="single"/>
        </w:rPr>
        <w:t>Resmi Tatiller ve Çalışma Saatleri</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 xml:space="preserve">Çalışma saatleri hafta içi 5 gündür. Bazı özel işletmeler cumartesi günleri yarım gün çalışmaktadır. Çalışma saatleri hafta arası </w:t>
      </w:r>
      <w:proofErr w:type="gramStart"/>
      <w:r w:rsidRPr="00C45CDD">
        <w:rPr>
          <w:i/>
          <w:color w:val="212529"/>
          <w:sz w:val="16"/>
          <w:szCs w:val="16"/>
        </w:rPr>
        <w:t>09:00</w:t>
      </w:r>
      <w:proofErr w:type="gramEnd"/>
      <w:r w:rsidRPr="00C45CDD">
        <w:rPr>
          <w:i/>
          <w:color w:val="212529"/>
          <w:sz w:val="16"/>
          <w:szCs w:val="16"/>
        </w:rPr>
        <w:t xml:space="preserve">-13:00 ile 14:00-18:00 saatleri arasındadır. Bankalar ise </w:t>
      </w:r>
      <w:proofErr w:type="gramStart"/>
      <w:r w:rsidRPr="00C45CDD">
        <w:rPr>
          <w:i/>
          <w:color w:val="212529"/>
          <w:sz w:val="16"/>
          <w:szCs w:val="16"/>
        </w:rPr>
        <w:t>08:30</w:t>
      </w:r>
      <w:proofErr w:type="gramEnd"/>
      <w:r w:rsidRPr="00C45CDD">
        <w:rPr>
          <w:i/>
          <w:color w:val="212529"/>
          <w:sz w:val="16"/>
          <w:szCs w:val="16"/>
        </w:rPr>
        <w:t>-13:30 ile 14:30-15:30 arasında hizmet vermektedir. İtalya’daki büyükelçiliğimizin çalışma saatleri 09.00-12.30, 13.30-18.00 olarak düzenlenmiştir.</w:t>
      </w:r>
    </w:p>
    <w:p w:rsidR="009A5170" w:rsidRPr="00C45CDD" w:rsidRDefault="009A5170" w:rsidP="00C45CDD">
      <w:pPr>
        <w:pStyle w:val="NormalWeb"/>
        <w:spacing w:before="0" w:beforeAutospacing="0"/>
        <w:jc w:val="both"/>
        <w:rPr>
          <w:i/>
          <w:color w:val="212529"/>
          <w:sz w:val="16"/>
          <w:szCs w:val="16"/>
        </w:rPr>
      </w:pPr>
      <w:r w:rsidRPr="00C45CDD">
        <w:rPr>
          <w:i/>
          <w:color w:val="212529"/>
          <w:sz w:val="16"/>
          <w:szCs w:val="16"/>
        </w:rPr>
        <w:t>İtalya'da çalışanların büyük bir kısmı Ağustos ayında yıllık izin kullanmaktadır. Bu ay süresince resmi dairelerin ve özel işyerleri az sayıda görevliyle çalışmakta, bazı özel işyerleri ise tamamen kapanmaktadır.</w:t>
      </w:r>
    </w:p>
    <w:p w:rsidR="009A5170" w:rsidRPr="00C45CDD" w:rsidRDefault="009A5170" w:rsidP="009A5170">
      <w:pPr>
        <w:pStyle w:val="Balk4"/>
        <w:spacing w:before="0" w:beforeAutospacing="0"/>
        <w:jc w:val="both"/>
        <w:rPr>
          <w:bCs w:val="0"/>
          <w:i/>
          <w:color w:val="212529"/>
          <w:sz w:val="28"/>
          <w:szCs w:val="28"/>
          <w:u w:val="single"/>
        </w:rPr>
      </w:pPr>
      <w:r w:rsidRPr="00C45CDD">
        <w:rPr>
          <w:bCs w:val="0"/>
          <w:i/>
          <w:color w:val="212529"/>
          <w:sz w:val="28"/>
          <w:szCs w:val="28"/>
          <w:u w:val="single"/>
        </w:rPr>
        <w:t>Hukuki Yapı</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İtalyan piyasası, hukuki yapı sebebiyle pazara yeni girecekler için karmaşık ve bazı durumlarda şeffaflıktan yoksundur. </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 xml:space="preserve">Küçük aile şirketlerinin </w:t>
      </w:r>
      <w:proofErr w:type="gramStart"/>
      <w:r w:rsidRPr="00C45CDD">
        <w:rPr>
          <w:i/>
          <w:color w:val="212529"/>
          <w:sz w:val="16"/>
          <w:szCs w:val="16"/>
        </w:rPr>
        <w:t>hakimiyeti</w:t>
      </w:r>
      <w:proofErr w:type="gramEnd"/>
      <w:r w:rsidRPr="00C45CDD">
        <w:rPr>
          <w:i/>
          <w:color w:val="212529"/>
          <w:sz w:val="16"/>
          <w:szCs w:val="16"/>
        </w:rPr>
        <w:t>, bölgesel farklılıklar ve eşitsizlikler, ticari faaliyetlerde ilave güçlüklere yol açabilmektedir.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 xml:space="preserve">İtalyan pazarına girebilmenin ön koşulu İtalyan firmalarla işbirliği yapmak ve ortak hareket etmektir. Doğru İtalyan ticaret ortağını bulmak, İtalya’da ticari bir faaliyet kurmanın en önemli bölümünü oluşturmaktadır. İdeal İtalyan ortak </w:t>
      </w:r>
      <w:proofErr w:type="gramStart"/>
      <w:r w:rsidRPr="00C45CDD">
        <w:rPr>
          <w:i/>
          <w:color w:val="212529"/>
          <w:sz w:val="16"/>
          <w:szCs w:val="16"/>
        </w:rPr>
        <w:t>halihazırda</w:t>
      </w:r>
      <w:proofErr w:type="gramEnd"/>
      <w:r w:rsidRPr="00C45CDD">
        <w:rPr>
          <w:i/>
          <w:color w:val="212529"/>
          <w:sz w:val="16"/>
          <w:szCs w:val="16"/>
        </w:rPr>
        <w:t xml:space="preserve"> iletişim ağlarına sahip olmalı ve yerel ticari ve yasal uygulamalardan iyi anlamalıdır. Teknik ürünler için, potansiyel ortağın, İtalyan tüketicilere satış sonrası hizmet sunabilecek kapasitede olması da büyük önem taşımaktadır.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 xml:space="preserve">Özellikle küçük ölçekli şahıs firmaları ile olan alacak </w:t>
      </w:r>
      <w:proofErr w:type="gramStart"/>
      <w:r w:rsidRPr="00C45CDD">
        <w:rPr>
          <w:i/>
          <w:color w:val="212529"/>
          <w:sz w:val="16"/>
          <w:szCs w:val="16"/>
        </w:rPr>
        <w:t>tahsilatlarının</w:t>
      </w:r>
      <w:proofErr w:type="gramEnd"/>
      <w:r w:rsidRPr="00C45CDD">
        <w:rPr>
          <w:i/>
          <w:color w:val="212529"/>
          <w:sz w:val="16"/>
          <w:szCs w:val="16"/>
        </w:rPr>
        <w:t xml:space="preserve"> hukuki sürecin uzun olmasından dolayı imkansız hale gelmesi ve sıkça görülen şirket dolandırıcılıklarından korunmak için yeni bir firmayla (özellikle Güney İtalya’daki firmalar) bağlantı kurulma aşamasında titizlikle araştırılmalı ve ödeme şekli için güvenilir kanallar tercih edilmelidir. </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 xml:space="preserve">Şirket kurma </w:t>
      </w:r>
      <w:proofErr w:type="gramStart"/>
      <w:r w:rsidRPr="00C45CDD">
        <w:rPr>
          <w:i/>
          <w:color w:val="212529"/>
          <w:sz w:val="16"/>
          <w:szCs w:val="16"/>
        </w:rPr>
        <w:t>prosedürünün</w:t>
      </w:r>
      <w:proofErr w:type="gramEnd"/>
      <w:r w:rsidRPr="00C45CDD">
        <w:rPr>
          <w:i/>
          <w:color w:val="212529"/>
          <w:sz w:val="16"/>
          <w:szCs w:val="16"/>
        </w:rPr>
        <w:t xml:space="preserve"> uzun olması, çalışma ve oturma müsaadelerinin alınması süreçlerinin çok uzun olması, bürokrasinin ağır işleyişi göz önünde bulundurularak, özellikle şube ve temsilcilik açılmasına karar verilmesi durumunda güvenilir bir hukuk firması ile işbirliği yapılması büyük önem taşımaktadır.</w:t>
      </w:r>
    </w:p>
    <w:p w:rsidR="009A5170" w:rsidRPr="00C45CDD" w:rsidRDefault="009A5170" w:rsidP="009A5170">
      <w:pPr>
        <w:pStyle w:val="NormalWeb"/>
        <w:spacing w:before="0" w:beforeAutospacing="0"/>
        <w:jc w:val="both"/>
        <w:rPr>
          <w:i/>
          <w:color w:val="212529"/>
          <w:sz w:val="16"/>
          <w:szCs w:val="16"/>
        </w:rPr>
      </w:pPr>
      <w:r w:rsidRPr="00C45CDD">
        <w:rPr>
          <w:i/>
          <w:color w:val="212529"/>
          <w:sz w:val="16"/>
          <w:szCs w:val="16"/>
        </w:rPr>
        <w:t xml:space="preserve">İtalya ile ticari ilişkilerin acente ve </w:t>
      </w:r>
      <w:proofErr w:type="gramStart"/>
      <w:r w:rsidRPr="00C45CDD">
        <w:rPr>
          <w:i/>
          <w:color w:val="212529"/>
          <w:sz w:val="16"/>
          <w:szCs w:val="16"/>
        </w:rPr>
        <w:t>distribütörlük</w:t>
      </w:r>
      <w:proofErr w:type="gramEnd"/>
      <w:r w:rsidRPr="00C45CDD">
        <w:rPr>
          <w:i/>
          <w:color w:val="212529"/>
          <w:sz w:val="16"/>
          <w:szCs w:val="16"/>
        </w:rPr>
        <w:t xml:space="preserve"> şeklinde sürdürülmesinde fayda bulunmaktadır. Acente ve temsilcilik ofisleri İtalyan kanunlarına göre yurt dışındaki şirketin uzantısı olarak algılanmakta ve yalnızca İtalya’da kazandıkları gelir üzerinden vergiye tabi tutulmaktadır. Gelir ve karların ana şirkete transferinde herhangi bir kısıtlama bulunmamaktadır.</w:t>
      </w:r>
    </w:p>
    <w:p w:rsidR="009A5170" w:rsidRPr="00C45CDD" w:rsidRDefault="009A5170" w:rsidP="009A5170">
      <w:pPr>
        <w:pStyle w:val="NormalWeb"/>
        <w:spacing w:before="0" w:beforeAutospacing="0"/>
        <w:jc w:val="both"/>
        <w:rPr>
          <w:i/>
          <w:color w:val="212529"/>
          <w:sz w:val="16"/>
          <w:szCs w:val="16"/>
        </w:rPr>
      </w:pPr>
    </w:p>
    <w:p w:rsidR="009A5170" w:rsidRPr="00C45CDD" w:rsidRDefault="009A5170" w:rsidP="009A5170">
      <w:pPr>
        <w:pStyle w:val="Balk4"/>
        <w:spacing w:before="0" w:beforeAutospacing="0"/>
        <w:jc w:val="both"/>
        <w:rPr>
          <w:bCs w:val="0"/>
          <w:i/>
          <w:color w:val="212529"/>
          <w:sz w:val="16"/>
          <w:szCs w:val="16"/>
        </w:rPr>
      </w:pPr>
    </w:p>
    <w:p w:rsidR="009A5170" w:rsidRPr="00C45CDD" w:rsidRDefault="009A5170" w:rsidP="009A5170">
      <w:pPr>
        <w:pStyle w:val="NormalWeb"/>
        <w:spacing w:before="0" w:beforeAutospacing="0"/>
        <w:jc w:val="both"/>
        <w:rPr>
          <w:i/>
          <w:color w:val="212529"/>
          <w:sz w:val="16"/>
          <w:szCs w:val="16"/>
        </w:rPr>
      </w:pPr>
    </w:p>
    <w:p w:rsidR="009A5170" w:rsidRPr="00C45CDD" w:rsidRDefault="009A5170" w:rsidP="009A5170">
      <w:pPr>
        <w:pStyle w:val="Balk4"/>
        <w:spacing w:before="0" w:beforeAutospacing="0"/>
        <w:jc w:val="both"/>
        <w:rPr>
          <w:bCs w:val="0"/>
          <w:i/>
          <w:color w:val="212529"/>
          <w:sz w:val="16"/>
          <w:szCs w:val="16"/>
        </w:rPr>
      </w:pPr>
    </w:p>
    <w:p w:rsidR="009A5170" w:rsidRPr="00C45CDD" w:rsidRDefault="009A5170" w:rsidP="009A5170">
      <w:pPr>
        <w:pStyle w:val="NormalWeb"/>
        <w:spacing w:before="0" w:beforeAutospacing="0"/>
        <w:jc w:val="both"/>
        <w:rPr>
          <w:i/>
          <w:color w:val="212529"/>
          <w:sz w:val="16"/>
          <w:szCs w:val="16"/>
        </w:rPr>
      </w:pPr>
    </w:p>
    <w:p w:rsidR="009A5170" w:rsidRPr="00C45CDD" w:rsidRDefault="009A5170" w:rsidP="009A5170">
      <w:pPr>
        <w:pStyle w:val="Balk4"/>
        <w:spacing w:before="0" w:beforeAutospacing="0"/>
        <w:jc w:val="both"/>
        <w:rPr>
          <w:bCs w:val="0"/>
          <w:i/>
          <w:color w:val="212529"/>
          <w:sz w:val="16"/>
          <w:szCs w:val="16"/>
        </w:rPr>
      </w:pPr>
    </w:p>
    <w:p w:rsidR="009A5170" w:rsidRPr="00C45CDD" w:rsidRDefault="009A5170" w:rsidP="00083AD4">
      <w:pPr>
        <w:pStyle w:val="NormalWeb"/>
        <w:spacing w:before="0" w:beforeAutospacing="0"/>
        <w:jc w:val="both"/>
        <w:rPr>
          <w:i/>
          <w:color w:val="212529"/>
          <w:sz w:val="16"/>
          <w:szCs w:val="16"/>
        </w:rPr>
      </w:pPr>
    </w:p>
    <w:p w:rsidR="00083AD4" w:rsidRPr="00C45CDD" w:rsidRDefault="00083AD4" w:rsidP="00083AD4">
      <w:pPr>
        <w:pStyle w:val="Balk4"/>
        <w:spacing w:before="0" w:beforeAutospacing="0"/>
        <w:jc w:val="both"/>
        <w:rPr>
          <w:bCs w:val="0"/>
          <w:i/>
          <w:color w:val="212529"/>
          <w:sz w:val="16"/>
          <w:szCs w:val="16"/>
        </w:rPr>
      </w:pPr>
    </w:p>
    <w:p w:rsidR="00083AD4" w:rsidRPr="00C45CDD" w:rsidRDefault="00083AD4" w:rsidP="00083AD4">
      <w:pPr>
        <w:pStyle w:val="NormalWeb"/>
        <w:spacing w:before="0" w:beforeAutospacing="0"/>
        <w:jc w:val="both"/>
        <w:rPr>
          <w:i/>
          <w:color w:val="212529"/>
          <w:sz w:val="16"/>
          <w:szCs w:val="16"/>
        </w:rPr>
      </w:pPr>
    </w:p>
    <w:p w:rsidR="00083AD4" w:rsidRPr="00C45CDD" w:rsidRDefault="00083AD4" w:rsidP="00083AD4">
      <w:pPr>
        <w:pStyle w:val="Balk4"/>
        <w:spacing w:before="0" w:beforeAutospacing="0"/>
        <w:jc w:val="both"/>
        <w:rPr>
          <w:bCs w:val="0"/>
          <w:i/>
          <w:color w:val="212529"/>
          <w:sz w:val="16"/>
          <w:szCs w:val="16"/>
        </w:rPr>
      </w:pPr>
    </w:p>
    <w:p w:rsidR="00083AD4" w:rsidRPr="00C45CDD" w:rsidRDefault="00083AD4" w:rsidP="00083AD4">
      <w:pPr>
        <w:pStyle w:val="Balk4"/>
        <w:spacing w:before="0" w:beforeAutospacing="0"/>
        <w:jc w:val="both"/>
        <w:rPr>
          <w:bCs w:val="0"/>
          <w:i/>
          <w:color w:val="212529"/>
          <w:sz w:val="16"/>
          <w:szCs w:val="16"/>
        </w:rPr>
      </w:pPr>
    </w:p>
    <w:p w:rsidR="00083AD4" w:rsidRPr="00C45CDD" w:rsidRDefault="00083AD4" w:rsidP="00083AD4">
      <w:pPr>
        <w:pStyle w:val="NormalWeb"/>
        <w:spacing w:before="0" w:beforeAutospacing="0"/>
        <w:jc w:val="both"/>
        <w:rPr>
          <w:i/>
          <w:color w:val="212529"/>
          <w:sz w:val="16"/>
          <w:szCs w:val="16"/>
        </w:rPr>
      </w:pPr>
    </w:p>
    <w:p w:rsidR="00083AD4" w:rsidRPr="00C45CDD" w:rsidRDefault="00083AD4" w:rsidP="00083AD4">
      <w:pPr>
        <w:pStyle w:val="Balk4"/>
        <w:spacing w:before="0" w:beforeAutospacing="0"/>
        <w:jc w:val="both"/>
        <w:rPr>
          <w:bCs w:val="0"/>
          <w:i/>
          <w:color w:val="212529"/>
          <w:sz w:val="16"/>
          <w:szCs w:val="16"/>
        </w:rPr>
      </w:pPr>
    </w:p>
    <w:p w:rsidR="00083AD4" w:rsidRPr="00C45CDD" w:rsidRDefault="00083AD4" w:rsidP="00083AD4">
      <w:pPr>
        <w:pStyle w:val="Balk4"/>
        <w:spacing w:before="0" w:beforeAutospacing="0"/>
        <w:jc w:val="both"/>
        <w:rPr>
          <w:b w:val="0"/>
          <w:bCs w:val="0"/>
          <w:i/>
          <w:color w:val="212529"/>
          <w:sz w:val="16"/>
          <w:szCs w:val="16"/>
        </w:rPr>
      </w:pPr>
    </w:p>
    <w:p w:rsidR="00083AD4" w:rsidRPr="00C45CDD" w:rsidRDefault="00083AD4" w:rsidP="00083AD4">
      <w:pPr>
        <w:pStyle w:val="NormalWeb"/>
        <w:spacing w:before="0" w:beforeAutospacing="0"/>
        <w:jc w:val="both"/>
        <w:rPr>
          <w:i/>
          <w:color w:val="212529"/>
          <w:sz w:val="16"/>
          <w:szCs w:val="16"/>
        </w:rPr>
      </w:pPr>
    </w:p>
    <w:p w:rsidR="00083AD4" w:rsidRPr="00083AD4" w:rsidRDefault="00083AD4" w:rsidP="00083AD4">
      <w:pPr>
        <w:pStyle w:val="NormalWeb"/>
        <w:spacing w:before="0" w:beforeAutospacing="0"/>
        <w:jc w:val="both"/>
        <w:rPr>
          <w:i/>
          <w:color w:val="212529"/>
          <w:sz w:val="20"/>
          <w:szCs w:val="20"/>
        </w:rPr>
      </w:pPr>
    </w:p>
    <w:p w:rsidR="00083AD4" w:rsidRPr="00083AD4" w:rsidRDefault="00083AD4" w:rsidP="00083AD4">
      <w:pPr>
        <w:pStyle w:val="NormalWeb"/>
        <w:spacing w:before="0" w:beforeAutospacing="0"/>
        <w:jc w:val="both"/>
        <w:rPr>
          <w:i/>
          <w:color w:val="212529"/>
          <w:sz w:val="20"/>
          <w:szCs w:val="20"/>
        </w:rPr>
      </w:pPr>
    </w:p>
    <w:p w:rsidR="00083AD4" w:rsidRPr="00083AD4" w:rsidRDefault="00083AD4" w:rsidP="002A2BEA">
      <w:pPr>
        <w:spacing w:after="100" w:afterAutospacing="1" w:line="240" w:lineRule="auto"/>
        <w:jc w:val="both"/>
        <w:rPr>
          <w:rStyle w:val="Gl"/>
          <w:rFonts w:ascii="Times New Roman" w:eastAsia="Times New Roman" w:hAnsi="Times New Roman" w:cs="Times New Roman"/>
          <w:bCs w:val="0"/>
          <w:i/>
          <w:color w:val="212529"/>
          <w:sz w:val="20"/>
          <w:szCs w:val="20"/>
        </w:rPr>
      </w:pPr>
    </w:p>
    <w:p w:rsidR="002A2BEA" w:rsidRPr="00083AD4" w:rsidRDefault="002A2BEA" w:rsidP="002A2BEA">
      <w:pPr>
        <w:pStyle w:val="NormalWeb"/>
        <w:spacing w:before="0" w:beforeAutospacing="0"/>
        <w:jc w:val="both"/>
        <w:rPr>
          <w:i/>
          <w:color w:val="212529"/>
          <w:sz w:val="20"/>
          <w:szCs w:val="20"/>
        </w:rPr>
      </w:pPr>
    </w:p>
    <w:p w:rsidR="002A2BEA" w:rsidRPr="00083AD4" w:rsidRDefault="002A2BEA" w:rsidP="002A2BEA">
      <w:pPr>
        <w:pStyle w:val="Balk4"/>
        <w:spacing w:before="0" w:beforeAutospacing="0"/>
        <w:jc w:val="both"/>
        <w:rPr>
          <w:bCs w:val="0"/>
          <w:i/>
          <w:color w:val="212529"/>
          <w:sz w:val="20"/>
          <w:szCs w:val="20"/>
        </w:rPr>
      </w:pPr>
    </w:p>
    <w:p w:rsidR="002A2BEA" w:rsidRPr="00083AD4" w:rsidRDefault="002A2BEA" w:rsidP="002A2BEA">
      <w:pPr>
        <w:pStyle w:val="NormalWeb"/>
        <w:spacing w:before="0" w:beforeAutospacing="0"/>
        <w:jc w:val="both"/>
        <w:rPr>
          <w:i/>
          <w:color w:val="212529"/>
          <w:sz w:val="20"/>
          <w:szCs w:val="20"/>
        </w:rPr>
      </w:pPr>
    </w:p>
    <w:p w:rsidR="002A2BEA" w:rsidRPr="00083AD4" w:rsidRDefault="002A2BEA" w:rsidP="002A2BEA">
      <w:pPr>
        <w:pStyle w:val="Balk4"/>
        <w:spacing w:before="0" w:beforeAutospacing="0"/>
        <w:jc w:val="both"/>
        <w:rPr>
          <w:b w:val="0"/>
          <w:bCs w:val="0"/>
          <w:i/>
          <w:color w:val="212529"/>
          <w:sz w:val="20"/>
          <w:szCs w:val="20"/>
        </w:rPr>
      </w:pPr>
    </w:p>
    <w:p w:rsidR="009D6C6B" w:rsidRPr="002A2BEA" w:rsidRDefault="009D6C6B" w:rsidP="009D6C6B">
      <w:pPr>
        <w:pStyle w:val="NormalWeb"/>
        <w:spacing w:before="0" w:beforeAutospacing="0"/>
        <w:jc w:val="both"/>
        <w:rPr>
          <w:b/>
          <w:i/>
          <w:color w:val="212529"/>
          <w:sz w:val="18"/>
          <w:szCs w:val="18"/>
        </w:rPr>
      </w:pPr>
    </w:p>
    <w:p w:rsidR="009D6C6B" w:rsidRPr="003F0A71" w:rsidRDefault="009D6C6B" w:rsidP="009D6C6B">
      <w:pPr>
        <w:pStyle w:val="Balk4"/>
        <w:spacing w:before="0" w:beforeAutospacing="0"/>
        <w:jc w:val="both"/>
        <w:rPr>
          <w:b w:val="0"/>
          <w:bCs w:val="0"/>
          <w:i/>
          <w:color w:val="212529"/>
          <w:sz w:val="18"/>
          <w:szCs w:val="18"/>
        </w:rPr>
      </w:pPr>
    </w:p>
    <w:p w:rsidR="009D6C6B" w:rsidRPr="003F0A71" w:rsidRDefault="009D6C6B" w:rsidP="009D6C6B">
      <w:pPr>
        <w:pStyle w:val="Balk4"/>
        <w:spacing w:before="0" w:beforeAutospacing="0"/>
        <w:jc w:val="both"/>
        <w:rPr>
          <w:bCs w:val="0"/>
          <w:i/>
          <w:color w:val="212529"/>
          <w:sz w:val="18"/>
          <w:szCs w:val="18"/>
        </w:rPr>
      </w:pPr>
    </w:p>
    <w:p w:rsidR="009D6C6B" w:rsidRPr="009D6C6B" w:rsidRDefault="009D6C6B" w:rsidP="009D6C6B">
      <w:pPr>
        <w:pStyle w:val="Balk4"/>
        <w:spacing w:before="0" w:beforeAutospacing="0"/>
        <w:jc w:val="both"/>
        <w:rPr>
          <w:bCs w:val="0"/>
          <w:i/>
          <w:color w:val="212529"/>
          <w:sz w:val="20"/>
          <w:szCs w:val="20"/>
        </w:rPr>
      </w:pPr>
    </w:p>
    <w:p w:rsidR="009D6C6B" w:rsidRPr="009D6C6B" w:rsidRDefault="009D6C6B" w:rsidP="009D6C6B">
      <w:pPr>
        <w:pStyle w:val="Balk4"/>
        <w:spacing w:before="0" w:beforeAutospacing="0"/>
        <w:jc w:val="both"/>
        <w:rPr>
          <w:b w:val="0"/>
          <w:bCs w:val="0"/>
          <w:i/>
          <w:color w:val="212529"/>
          <w:sz w:val="20"/>
          <w:szCs w:val="20"/>
        </w:rPr>
      </w:pPr>
    </w:p>
    <w:p w:rsidR="003B331F" w:rsidRPr="003B331F" w:rsidRDefault="003B331F" w:rsidP="003B331F">
      <w:pPr>
        <w:pStyle w:val="NormalWeb"/>
        <w:spacing w:before="0" w:beforeAutospacing="0"/>
        <w:jc w:val="both"/>
        <w:rPr>
          <w:i/>
          <w:color w:val="212529"/>
          <w:sz w:val="20"/>
          <w:szCs w:val="20"/>
        </w:rPr>
      </w:pPr>
    </w:p>
    <w:p w:rsidR="003B331F" w:rsidRPr="003B331F" w:rsidRDefault="003B331F" w:rsidP="003B331F">
      <w:pPr>
        <w:pStyle w:val="Balk4"/>
        <w:spacing w:before="0" w:beforeAutospacing="0"/>
        <w:jc w:val="both"/>
        <w:rPr>
          <w:bCs w:val="0"/>
          <w:i/>
          <w:color w:val="212529"/>
          <w:sz w:val="22"/>
          <w:szCs w:val="22"/>
        </w:rPr>
      </w:pPr>
    </w:p>
    <w:p w:rsidR="003B331F" w:rsidRPr="003B331F" w:rsidRDefault="003B331F" w:rsidP="003B331F">
      <w:pPr>
        <w:pStyle w:val="NormalWeb"/>
        <w:spacing w:before="0" w:beforeAutospacing="0"/>
        <w:jc w:val="both"/>
        <w:rPr>
          <w:i/>
          <w:color w:val="212529"/>
          <w:sz w:val="20"/>
          <w:szCs w:val="20"/>
        </w:rPr>
      </w:pPr>
    </w:p>
    <w:p w:rsidR="003B331F" w:rsidRPr="003B331F" w:rsidRDefault="003B331F" w:rsidP="003B331F">
      <w:pPr>
        <w:pStyle w:val="Balk4"/>
        <w:spacing w:before="0" w:beforeAutospacing="0"/>
        <w:jc w:val="both"/>
        <w:rPr>
          <w:bCs w:val="0"/>
          <w:i/>
          <w:color w:val="212529"/>
          <w:sz w:val="20"/>
          <w:szCs w:val="20"/>
        </w:rPr>
      </w:pPr>
    </w:p>
    <w:p w:rsidR="003B331F" w:rsidRPr="003B331F" w:rsidRDefault="003B331F" w:rsidP="003B331F">
      <w:pPr>
        <w:pStyle w:val="NormalWeb"/>
        <w:spacing w:before="0" w:beforeAutospacing="0"/>
        <w:jc w:val="both"/>
        <w:rPr>
          <w:i/>
          <w:color w:val="212529"/>
          <w:sz w:val="20"/>
          <w:szCs w:val="20"/>
        </w:rPr>
      </w:pPr>
    </w:p>
    <w:p w:rsidR="003B331F" w:rsidRPr="003B331F" w:rsidRDefault="003B331F" w:rsidP="003B331F">
      <w:pPr>
        <w:pStyle w:val="NormalWeb"/>
        <w:spacing w:before="0" w:beforeAutospacing="0"/>
        <w:jc w:val="both"/>
        <w:rPr>
          <w:i/>
          <w:color w:val="212529"/>
          <w:sz w:val="20"/>
          <w:szCs w:val="20"/>
        </w:rPr>
      </w:pPr>
      <w:r w:rsidRPr="003B331F">
        <w:rPr>
          <w:i/>
          <w:color w:val="212529"/>
          <w:sz w:val="20"/>
          <w:szCs w:val="20"/>
        </w:rPr>
        <w:t> </w:t>
      </w:r>
    </w:p>
    <w:p w:rsidR="003B331F" w:rsidRPr="003B331F" w:rsidRDefault="003B331F" w:rsidP="003B331F">
      <w:pPr>
        <w:pStyle w:val="Balk4"/>
        <w:spacing w:before="0" w:beforeAutospacing="0"/>
        <w:jc w:val="both"/>
        <w:rPr>
          <w:bCs w:val="0"/>
          <w:i/>
          <w:color w:val="212529"/>
          <w:sz w:val="20"/>
          <w:szCs w:val="20"/>
        </w:rPr>
      </w:pPr>
    </w:p>
    <w:p w:rsidR="003B331F" w:rsidRPr="003B331F" w:rsidRDefault="003B331F" w:rsidP="003B331F">
      <w:pPr>
        <w:pStyle w:val="NormalWeb"/>
        <w:spacing w:before="0" w:beforeAutospacing="0"/>
        <w:jc w:val="both"/>
        <w:rPr>
          <w:b/>
          <w:bCs/>
          <w:i/>
          <w:color w:val="212529"/>
          <w:sz w:val="20"/>
          <w:szCs w:val="20"/>
        </w:rPr>
      </w:pPr>
    </w:p>
    <w:p w:rsidR="003B331F" w:rsidRPr="003B331F" w:rsidRDefault="003B331F" w:rsidP="009572E2">
      <w:pPr>
        <w:pStyle w:val="Balk4"/>
        <w:spacing w:before="0" w:beforeAutospacing="0"/>
        <w:jc w:val="both"/>
        <w:rPr>
          <w:bCs w:val="0"/>
          <w:i/>
          <w:color w:val="212529"/>
          <w:sz w:val="20"/>
          <w:szCs w:val="20"/>
        </w:rPr>
      </w:pPr>
    </w:p>
    <w:p w:rsidR="009572E2" w:rsidRPr="003B331F" w:rsidRDefault="009572E2" w:rsidP="009572E2">
      <w:pPr>
        <w:rPr>
          <w:rFonts w:ascii="Times New Roman" w:hAnsi="Times New Roman" w:cs="Times New Roman"/>
          <w:i/>
          <w:sz w:val="20"/>
          <w:szCs w:val="20"/>
        </w:rPr>
      </w:pPr>
    </w:p>
    <w:sectPr w:rsidR="009572E2" w:rsidRPr="003B331F" w:rsidSect="009352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useFELayout/>
  </w:compat>
  <w:rsids>
    <w:rsidRoot w:val="009572E2"/>
    <w:rsid w:val="000654FC"/>
    <w:rsid w:val="00083AD4"/>
    <w:rsid w:val="002734C4"/>
    <w:rsid w:val="002A2BEA"/>
    <w:rsid w:val="003B331F"/>
    <w:rsid w:val="003F0A71"/>
    <w:rsid w:val="008720E2"/>
    <w:rsid w:val="00901D86"/>
    <w:rsid w:val="009352BE"/>
    <w:rsid w:val="009572E2"/>
    <w:rsid w:val="009A5170"/>
    <w:rsid w:val="009D6C6B"/>
    <w:rsid w:val="00C45C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BE"/>
  </w:style>
  <w:style w:type="paragraph" w:styleId="Balk2">
    <w:name w:val="heading 2"/>
    <w:basedOn w:val="Normal"/>
    <w:next w:val="Normal"/>
    <w:link w:val="Balk2Char"/>
    <w:uiPriority w:val="9"/>
    <w:semiHidden/>
    <w:unhideWhenUsed/>
    <w:qFormat/>
    <w:rsid w:val="009572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9572E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9572E2"/>
    <w:rPr>
      <w:rFonts w:asciiTheme="majorHAnsi" w:eastAsiaTheme="majorEastAsia" w:hAnsiTheme="majorHAnsi" w:cstheme="majorBidi"/>
      <w:b/>
      <w:bCs/>
      <w:color w:val="4F81BD" w:themeColor="accent1"/>
      <w:sz w:val="26"/>
      <w:szCs w:val="26"/>
    </w:rPr>
  </w:style>
  <w:style w:type="character" w:customStyle="1" w:styleId="Balk4Char">
    <w:name w:val="Başlık 4 Char"/>
    <w:basedOn w:val="VarsaylanParagrafYazTipi"/>
    <w:link w:val="Balk4"/>
    <w:uiPriority w:val="9"/>
    <w:rsid w:val="009572E2"/>
    <w:rPr>
      <w:rFonts w:ascii="Times New Roman" w:eastAsia="Times New Roman" w:hAnsi="Times New Roman" w:cs="Times New Roman"/>
      <w:b/>
      <w:bCs/>
      <w:sz w:val="24"/>
      <w:szCs w:val="24"/>
    </w:rPr>
  </w:style>
  <w:style w:type="paragraph" w:styleId="NormalWeb">
    <w:name w:val="Normal (Web)"/>
    <w:basedOn w:val="Normal"/>
    <w:uiPriority w:val="99"/>
    <w:unhideWhenUsed/>
    <w:rsid w:val="009572E2"/>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59"/>
    <w:rsid w:val="009572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901D86"/>
    <w:rPr>
      <w:b/>
      <w:bCs/>
    </w:rPr>
  </w:style>
  <w:style w:type="character" w:styleId="Kpr">
    <w:name w:val="Hyperlink"/>
    <w:basedOn w:val="VarsaylanParagrafYazTipi"/>
    <w:uiPriority w:val="99"/>
    <w:semiHidden/>
    <w:unhideWhenUsed/>
    <w:rsid w:val="003B331F"/>
    <w:rPr>
      <w:color w:val="0000FF"/>
      <w:u w:val="single"/>
    </w:rPr>
  </w:style>
  <w:style w:type="character" w:styleId="Vurgu">
    <w:name w:val="Emphasis"/>
    <w:basedOn w:val="VarsaylanParagrafYazTipi"/>
    <w:uiPriority w:val="20"/>
    <w:qFormat/>
    <w:rsid w:val="002A2BEA"/>
    <w:rPr>
      <w:i/>
      <w:iCs/>
    </w:rPr>
  </w:style>
  <w:style w:type="paragraph" w:styleId="BalonMetni">
    <w:name w:val="Balloon Text"/>
    <w:basedOn w:val="Normal"/>
    <w:link w:val="BalonMetniChar"/>
    <w:uiPriority w:val="99"/>
    <w:semiHidden/>
    <w:unhideWhenUsed/>
    <w:rsid w:val="008720E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720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178983">
      <w:bodyDiv w:val="1"/>
      <w:marLeft w:val="0"/>
      <w:marRight w:val="0"/>
      <w:marTop w:val="0"/>
      <w:marBottom w:val="0"/>
      <w:divBdr>
        <w:top w:val="none" w:sz="0" w:space="0" w:color="auto"/>
        <w:left w:val="none" w:sz="0" w:space="0" w:color="auto"/>
        <w:bottom w:val="none" w:sz="0" w:space="0" w:color="auto"/>
        <w:right w:val="none" w:sz="0" w:space="0" w:color="auto"/>
      </w:divBdr>
    </w:div>
    <w:div w:id="59062967">
      <w:bodyDiv w:val="1"/>
      <w:marLeft w:val="0"/>
      <w:marRight w:val="0"/>
      <w:marTop w:val="0"/>
      <w:marBottom w:val="0"/>
      <w:divBdr>
        <w:top w:val="none" w:sz="0" w:space="0" w:color="auto"/>
        <w:left w:val="none" w:sz="0" w:space="0" w:color="auto"/>
        <w:bottom w:val="none" w:sz="0" w:space="0" w:color="auto"/>
        <w:right w:val="none" w:sz="0" w:space="0" w:color="auto"/>
      </w:divBdr>
    </w:div>
    <w:div w:id="77792971">
      <w:bodyDiv w:val="1"/>
      <w:marLeft w:val="0"/>
      <w:marRight w:val="0"/>
      <w:marTop w:val="0"/>
      <w:marBottom w:val="0"/>
      <w:divBdr>
        <w:top w:val="none" w:sz="0" w:space="0" w:color="auto"/>
        <w:left w:val="none" w:sz="0" w:space="0" w:color="auto"/>
        <w:bottom w:val="none" w:sz="0" w:space="0" w:color="auto"/>
        <w:right w:val="none" w:sz="0" w:space="0" w:color="auto"/>
      </w:divBdr>
    </w:div>
    <w:div w:id="132066303">
      <w:bodyDiv w:val="1"/>
      <w:marLeft w:val="0"/>
      <w:marRight w:val="0"/>
      <w:marTop w:val="0"/>
      <w:marBottom w:val="0"/>
      <w:divBdr>
        <w:top w:val="none" w:sz="0" w:space="0" w:color="auto"/>
        <w:left w:val="none" w:sz="0" w:space="0" w:color="auto"/>
        <w:bottom w:val="none" w:sz="0" w:space="0" w:color="auto"/>
        <w:right w:val="none" w:sz="0" w:space="0" w:color="auto"/>
      </w:divBdr>
    </w:div>
    <w:div w:id="309015597">
      <w:bodyDiv w:val="1"/>
      <w:marLeft w:val="0"/>
      <w:marRight w:val="0"/>
      <w:marTop w:val="0"/>
      <w:marBottom w:val="0"/>
      <w:divBdr>
        <w:top w:val="none" w:sz="0" w:space="0" w:color="auto"/>
        <w:left w:val="none" w:sz="0" w:space="0" w:color="auto"/>
        <w:bottom w:val="none" w:sz="0" w:space="0" w:color="auto"/>
        <w:right w:val="none" w:sz="0" w:space="0" w:color="auto"/>
      </w:divBdr>
    </w:div>
    <w:div w:id="412047430">
      <w:bodyDiv w:val="1"/>
      <w:marLeft w:val="0"/>
      <w:marRight w:val="0"/>
      <w:marTop w:val="0"/>
      <w:marBottom w:val="0"/>
      <w:divBdr>
        <w:top w:val="none" w:sz="0" w:space="0" w:color="auto"/>
        <w:left w:val="none" w:sz="0" w:space="0" w:color="auto"/>
        <w:bottom w:val="none" w:sz="0" w:space="0" w:color="auto"/>
        <w:right w:val="none" w:sz="0" w:space="0" w:color="auto"/>
      </w:divBdr>
    </w:div>
    <w:div w:id="504906277">
      <w:bodyDiv w:val="1"/>
      <w:marLeft w:val="0"/>
      <w:marRight w:val="0"/>
      <w:marTop w:val="0"/>
      <w:marBottom w:val="0"/>
      <w:divBdr>
        <w:top w:val="none" w:sz="0" w:space="0" w:color="auto"/>
        <w:left w:val="none" w:sz="0" w:space="0" w:color="auto"/>
        <w:bottom w:val="none" w:sz="0" w:space="0" w:color="auto"/>
        <w:right w:val="none" w:sz="0" w:space="0" w:color="auto"/>
      </w:divBdr>
    </w:div>
    <w:div w:id="548538840">
      <w:bodyDiv w:val="1"/>
      <w:marLeft w:val="0"/>
      <w:marRight w:val="0"/>
      <w:marTop w:val="0"/>
      <w:marBottom w:val="0"/>
      <w:divBdr>
        <w:top w:val="none" w:sz="0" w:space="0" w:color="auto"/>
        <w:left w:val="none" w:sz="0" w:space="0" w:color="auto"/>
        <w:bottom w:val="none" w:sz="0" w:space="0" w:color="auto"/>
        <w:right w:val="none" w:sz="0" w:space="0" w:color="auto"/>
      </w:divBdr>
    </w:div>
    <w:div w:id="586501255">
      <w:bodyDiv w:val="1"/>
      <w:marLeft w:val="0"/>
      <w:marRight w:val="0"/>
      <w:marTop w:val="0"/>
      <w:marBottom w:val="0"/>
      <w:divBdr>
        <w:top w:val="none" w:sz="0" w:space="0" w:color="auto"/>
        <w:left w:val="none" w:sz="0" w:space="0" w:color="auto"/>
        <w:bottom w:val="none" w:sz="0" w:space="0" w:color="auto"/>
        <w:right w:val="none" w:sz="0" w:space="0" w:color="auto"/>
      </w:divBdr>
    </w:div>
    <w:div w:id="646324969">
      <w:bodyDiv w:val="1"/>
      <w:marLeft w:val="0"/>
      <w:marRight w:val="0"/>
      <w:marTop w:val="0"/>
      <w:marBottom w:val="0"/>
      <w:divBdr>
        <w:top w:val="none" w:sz="0" w:space="0" w:color="auto"/>
        <w:left w:val="none" w:sz="0" w:space="0" w:color="auto"/>
        <w:bottom w:val="none" w:sz="0" w:space="0" w:color="auto"/>
        <w:right w:val="none" w:sz="0" w:space="0" w:color="auto"/>
      </w:divBdr>
    </w:div>
    <w:div w:id="693196214">
      <w:bodyDiv w:val="1"/>
      <w:marLeft w:val="0"/>
      <w:marRight w:val="0"/>
      <w:marTop w:val="0"/>
      <w:marBottom w:val="0"/>
      <w:divBdr>
        <w:top w:val="none" w:sz="0" w:space="0" w:color="auto"/>
        <w:left w:val="none" w:sz="0" w:space="0" w:color="auto"/>
        <w:bottom w:val="none" w:sz="0" w:space="0" w:color="auto"/>
        <w:right w:val="none" w:sz="0" w:space="0" w:color="auto"/>
      </w:divBdr>
    </w:div>
    <w:div w:id="704057635">
      <w:bodyDiv w:val="1"/>
      <w:marLeft w:val="0"/>
      <w:marRight w:val="0"/>
      <w:marTop w:val="0"/>
      <w:marBottom w:val="0"/>
      <w:divBdr>
        <w:top w:val="none" w:sz="0" w:space="0" w:color="auto"/>
        <w:left w:val="none" w:sz="0" w:space="0" w:color="auto"/>
        <w:bottom w:val="none" w:sz="0" w:space="0" w:color="auto"/>
        <w:right w:val="none" w:sz="0" w:space="0" w:color="auto"/>
      </w:divBdr>
    </w:div>
    <w:div w:id="732461601">
      <w:bodyDiv w:val="1"/>
      <w:marLeft w:val="0"/>
      <w:marRight w:val="0"/>
      <w:marTop w:val="0"/>
      <w:marBottom w:val="0"/>
      <w:divBdr>
        <w:top w:val="none" w:sz="0" w:space="0" w:color="auto"/>
        <w:left w:val="none" w:sz="0" w:space="0" w:color="auto"/>
        <w:bottom w:val="none" w:sz="0" w:space="0" w:color="auto"/>
        <w:right w:val="none" w:sz="0" w:space="0" w:color="auto"/>
      </w:divBdr>
    </w:div>
    <w:div w:id="754208075">
      <w:bodyDiv w:val="1"/>
      <w:marLeft w:val="0"/>
      <w:marRight w:val="0"/>
      <w:marTop w:val="0"/>
      <w:marBottom w:val="0"/>
      <w:divBdr>
        <w:top w:val="none" w:sz="0" w:space="0" w:color="auto"/>
        <w:left w:val="none" w:sz="0" w:space="0" w:color="auto"/>
        <w:bottom w:val="none" w:sz="0" w:space="0" w:color="auto"/>
        <w:right w:val="none" w:sz="0" w:space="0" w:color="auto"/>
      </w:divBdr>
    </w:div>
    <w:div w:id="765198366">
      <w:bodyDiv w:val="1"/>
      <w:marLeft w:val="0"/>
      <w:marRight w:val="0"/>
      <w:marTop w:val="0"/>
      <w:marBottom w:val="0"/>
      <w:divBdr>
        <w:top w:val="none" w:sz="0" w:space="0" w:color="auto"/>
        <w:left w:val="none" w:sz="0" w:space="0" w:color="auto"/>
        <w:bottom w:val="none" w:sz="0" w:space="0" w:color="auto"/>
        <w:right w:val="none" w:sz="0" w:space="0" w:color="auto"/>
      </w:divBdr>
    </w:div>
    <w:div w:id="810974823">
      <w:bodyDiv w:val="1"/>
      <w:marLeft w:val="0"/>
      <w:marRight w:val="0"/>
      <w:marTop w:val="0"/>
      <w:marBottom w:val="0"/>
      <w:divBdr>
        <w:top w:val="none" w:sz="0" w:space="0" w:color="auto"/>
        <w:left w:val="none" w:sz="0" w:space="0" w:color="auto"/>
        <w:bottom w:val="none" w:sz="0" w:space="0" w:color="auto"/>
        <w:right w:val="none" w:sz="0" w:space="0" w:color="auto"/>
      </w:divBdr>
    </w:div>
    <w:div w:id="834686573">
      <w:bodyDiv w:val="1"/>
      <w:marLeft w:val="0"/>
      <w:marRight w:val="0"/>
      <w:marTop w:val="0"/>
      <w:marBottom w:val="0"/>
      <w:divBdr>
        <w:top w:val="none" w:sz="0" w:space="0" w:color="auto"/>
        <w:left w:val="none" w:sz="0" w:space="0" w:color="auto"/>
        <w:bottom w:val="none" w:sz="0" w:space="0" w:color="auto"/>
        <w:right w:val="none" w:sz="0" w:space="0" w:color="auto"/>
      </w:divBdr>
    </w:div>
    <w:div w:id="857234549">
      <w:bodyDiv w:val="1"/>
      <w:marLeft w:val="0"/>
      <w:marRight w:val="0"/>
      <w:marTop w:val="0"/>
      <w:marBottom w:val="0"/>
      <w:divBdr>
        <w:top w:val="none" w:sz="0" w:space="0" w:color="auto"/>
        <w:left w:val="none" w:sz="0" w:space="0" w:color="auto"/>
        <w:bottom w:val="none" w:sz="0" w:space="0" w:color="auto"/>
        <w:right w:val="none" w:sz="0" w:space="0" w:color="auto"/>
      </w:divBdr>
    </w:div>
    <w:div w:id="870261378">
      <w:bodyDiv w:val="1"/>
      <w:marLeft w:val="0"/>
      <w:marRight w:val="0"/>
      <w:marTop w:val="0"/>
      <w:marBottom w:val="0"/>
      <w:divBdr>
        <w:top w:val="none" w:sz="0" w:space="0" w:color="auto"/>
        <w:left w:val="none" w:sz="0" w:space="0" w:color="auto"/>
        <w:bottom w:val="none" w:sz="0" w:space="0" w:color="auto"/>
        <w:right w:val="none" w:sz="0" w:space="0" w:color="auto"/>
      </w:divBdr>
    </w:div>
    <w:div w:id="922489248">
      <w:bodyDiv w:val="1"/>
      <w:marLeft w:val="0"/>
      <w:marRight w:val="0"/>
      <w:marTop w:val="0"/>
      <w:marBottom w:val="0"/>
      <w:divBdr>
        <w:top w:val="none" w:sz="0" w:space="0" w:color="auto"/>
        <w:left w:val="none" w:sz="0" w:space="0" w:color="auto"/>
        <w:bottom w:val="none" w:sz="0" w:space="0" w:color="auto"/>
        <w:right w:val="none" w:sz="0" w:space="0" w:color="auto"/>
      </w:divBdr>
    </w:div>
    <w:div w:id="931471087">
      <w:bodyDiv w:val="1"/>
      <w:marLeft w:val="0"/>
      <w:marRight w:val="0"/>
      <w:marTop w:val="0"/>
      <w:marBottom w:val="0"/>
      <w:divBdr>
        <w:top w:val="none" w:sz="0" w:space="0" w:color="auto"/>
        <w:left w:val="none" w:sz="0" w:space="0" w:color="auto"/>
        <w:bottom w:val="none" w:sz="0" w:space="0" w:color="auto"/>
        <w:right w:val="none" w:sz="0" w:space="0" w:color="auto"/>
      </w:divBdr>
    </w:div>
    <w:div w:id="976910497">
      <w:bodyDiv w:val="1"/>
      <w:marLeft w:val="0"/>
      <w:marRight w:val="0"/>
      <w:marTop w:val="0"/>
      <w:marBottom w:val="0"/>
      <w:divBdr>
        <w:top w:val="none" w:sz="0" w:space="0" w:color="auto"/>
        <w:left w:val="none" w:sz="0" w:space="0" w:color="auto"/>
        <w:bottom w:val="none" w:sz="0" w:space="0" w:color="auto"/>
        <w:right w:val="none" w:sz="0" w:space="0" w:color="auto"/>
      </w:divBdr>
    </w:div>
    <w:div w:id="1029601753">
      <w:bodyDiv w:val="1"/>
      <w:marLeft w:val="0"/>
      <w:marRight w:val="0"/>
      <w:marTop w:val="0"/>
      <w:marBottom w:val="0"/>
      <w:divBdr>
        <w:top w:val="none" w:sz="0" w:space="0" w:color="auto"/>
        <w:left w:val="none" w:sz="0" w:space="0" w:color="auto"/>
        <w:bottom w:val="none" w:sz="0" w:space="0" w:color="auto"/>
        <w:right w:val="none" w:sz="0" w:space="0" w:color="auto"/>
      </w:divBdr>
    </w:div>
    <w:div w:id="1099644992">
      <w:bodyDiv w:val="1"/>
      <w:marLeft w:val="0"/>
      <w:marRight w:val="0"/>
      <w:marTop w:val="0"/>
      <w:marBottom w:val="0"/>
      <w:divBdr>
        <w:top w:val="none" w:sz="0" w:space="0" w:color="auto"/>
        <w:left w:val="none" w:sz="0" w:space="0" w:color="auto"/>
        <w:bottom w:val="none" w:sz="0" w:space="0" w:color="auto"/>
        <w:right w:val="none" w:sz="0" w:space="0" w:color="auto"/>
      </w:divBdr>
    </w:div>
    <w:div w:id="1108231352">
      <w:bodyDiv w:val="1"/>
      <w:marLeft w:val="0"/>
      <w:marRight w:val="0"/>
      <w:marTop w:val="0"/>
      <w:marBottom w:val="0"/>
      <w:divBdr>
        <w:top w:val="none" w:sz="0" w:space="0" w:color="auto"/>
        <w:left w:val="none" w:sz="0" w:space="0" w:color="auto"/>
        <w:bottom w:val="none" w:sz="0" w:space="0" w:color="auto"/>
        <w:right w:val="none" w:sz="0" w:space="0" w:color="auto"/>
      </w:divBdr>
    </w:div>
    <w:div w:id="1207988779">
      <w:bodyDiv w:val="1"/>
      <w:marLeft w:val="0"/>
      <w:marRight w:val="0"/>
      <w:marTop w:val="0"/>
      <w:marBottom w:val="0"/>
      <w:divBdr>
        <w:top w:val="none" w:sz="0" w:space="0" w:color="auto"/>
        <w:left w:val="none" w:sz="0" w:space="0" w:color="auto"/>
        <w:bottom w:val="none" w:sz="0" w:space="0" w:color="auto"/>
        <w:right w:val="none" w:sz="0" w:space="0" w:color="auto"/>
      </w:divBdr>
    </w:div>
    <w:div w:id="1317536221">
      <w:bodyDiv w:val="1"/>
      <w:marLeft w:val="0"/>
      <w:marRight w:val="0"/>
      <w:marTop w:val="0"/>
      <w:marBottom w:val="0"/>
      <w:divBdr>
        <w:top w:val="none" w:sz="0" w:space="0" w:color="auto"/>
        <w:left w:val="none" w:sz="0" w:space="0" w:color="auto"/>
        <w:bottom w:val="none" w:sz="0" w:space="0" w:color="auto"/>
        <w:right w:val="none" w:sz="0" w:space="0" w:color="auto"/>
      </w:divBdr>
    </w:div>
    <w:div w:id="1341664022">
      <w:bodyDiv w:val="1"/>
      <w:marLeft w:val="0"/>
      <w:marRight w:val="0"/>
      <w:marTop w:val="0"/>
      <w:marBottom w:val="0"/>
      <w:divBdr>
        <w:top w:val="none" w:sz="0" w:space="0" w:color="auto"/>
        <w:left w:val="none" w:sz="0" w:space="0" w:color="auto"/>
        <w:bottom w:val="none" w:sz="0" w:space="0" w:color="auto"/>
        <w:right w:val="none" w:sz="0" w:space="0" w:color="auto"/>
      </w:divBdr>
    </w:div>
    <w:div w:id="1385107994">
      <w:bodyDiv w:val="1"/>
      <w:marLeft w:val="0"/>
      <w:marRight w:val="0"/>
      <w:marTop w:val="0"/>
      <w:marBottom w:val="0"/>
      <w:divBdr>
        <w:top w:val="none" w:sz="0" w:space="0" w:color="auto"/>
        <w:left w:val="none" w:sz="0" w:space="0" w:color="auto"/>
        <w:bottom w:val="none" w:sz="0" w:space="0" w:color="auto"/>
        <w:right w:val="none" w:sz="0" w:space="0" w:color="auto"/>
      </w:divBdr>
    </w:div>
    <w:div w:id="1399092820">
      <w:bodyDiv w:val="1"/>
      <w:marLeft w:val="0"/>
      <w:marRight w:val="0"/>
      <w:marTop w:val="0"/>
      <w:marBottom w:val="0"/>
      <w:divBdr>
        <w:top w:val="none" w:sz="0" w:space="0" w:color="auto"/>
        <w:left w:val="none" w:sz="0" w:space="0" w:color="auto"/>
        <w:bottom w:val="none" w:sz="0" w:space="0" w:color="auto"/>
        <w:right w:val="none" w:sz="0" w:space="0" w:color="auto"/>
      </w:divBdr>
    </w:div>
    <w:div w:id="1407454295">
      <w:bodyDiv w:val="1"/>
      <w:marLeft w:val="0"/>
      <w:marRight w:val="0"/>
      <w:marTop w:val="0"/>
      <w:marBottom w:val="0"/>
      <w:divBdr>
        <w:top w:val="none" w:sz="0" w:space="0" w:color="auto"/>
        <w:left w:val="none" w:sz="0" w:space="0" w:color="auto"/>
        <w:bottom w:val="none" w:sz="0" w:space="0" w:color="auto"/>
        <w:right w:val="none" w:sz="0" w:space="0" w:color="auto"/>
      </w:divBdr>
    </w:div>
    <w:div w:id="1412502952">
      <w:bodyDiv w:val="1"/>
      <w:marLeft w:val="0"/>
      <w:marRight w:val="0"/>
      <w:marTop w:val="0"/>
      <w:marBottom w:val="0"/>
      <w:divBdr>
        <w:top w:val="none" w:sz="0" w:space="0" w:color="auto"/>
        <w:left w:val="none" w:sz="0" w:space="0" w:color="auto"/>
        <w:bottom w:val="none" w:sz="0" w:space="0" w:color="auto"/>
        <w:right w:val="none" w:sz="0" w:space="0" w:color="auto"/>
      </w:divBdr>
    </w:div>
    <w:div w:id="1423258120">
      <w:bodyDiv w:val="1"/>
      <w:marLeft w:val="0"/>
      <w:marRight w:val="0"/>
      <w:marTop w:val="0"/>
      <w:marBottom w:val="0"/>
      <w:divBdr>
        <w:top w:val="none" w:sz="0" w:space="0" w:color="auto"/>
        <w:left w:val="none" w:sz="0" w:space="0" w:color="auto"/>
        <w:bottom w:val="none" w:sz="0" w:space="0" w:color="auto"/>
        <w:right w:val="none" w:sz="0" w:space="0" w:color="auto"/>
      </w:divBdr>
    </w:div>
    <w:div w:id="1486895166">
      <w:bodyDiv w:val="1"/>
      <w:marLeft w:val="0"/>
      <w:marRight w:val="0"/>
      <w:marTop w:val="0"/>
      <w:marBottom w:val="0"/>
      <w:divBdr>
        <w:top w:val="none" w:sz="0" w:space="0" w:color="auto"/>
        <w:left w:val="none" w:sz="0" w:space="0" w:color="auto"/>
        <w:bottom w:val="none" w:sz="0" w:space="0" w:color="auto"/>
        <w:right w:val="none" w:sz="0" w:space="0" w:color="auto"/>
      </w:divBdr>
    </w:div>
    <w:div w:id="1528180251">
      <w:bodyDiv w:val="1"/>
      <w:marLeft w:val="0"/>
      <w:marRight w:val="0"/>
      <w:marTop w:val="0"/>
      <w:marBottom w:val="0"/>
      <w:divBdr>
        <w:top w:val="none" w:sz="0" w:space="0" w:color="auto"/>
        <w:left w:val="none" w:sz="0" w:space="0" w:color="auto"/>
        <w:bottom w:val="none" w:sz="0" w:space="0" w:color="auto"/>
        <w:right w:val="none" w:sz="0" w:space="0" w:color="auto"/>
      </w:divBdr>
    </w:div>
    <w:div w:id="1539662730">
      <w:bodyDiv w:val="1"/>
      <w:marLeft w:val="0"/>
      <w:marRight w:val="0"/>
      <w:marTop w:val="0"/>
      <w:marBottom w:val="0"/>
      <w:divBdr>
        <w:top w:val="none" w:sz="0" w:space="0" w:color="auto"/>
        <w:left w:val="none" w:sz="0" w:space="0" w:color="auto"/>
        <w:bottom w:val="none" w:sz="0" w:space="0" w:color="auto"/>
        <w:right w:val="none" w:sz="0" w:space="0" w:color="auto"/>
      </w:divBdr>
    </w:div>
    <w:div w:id="1575583459">
      <w:bodyDiv w:val="1"/>
      <w:marLeft w:val="0"/>
      <w:marRight w:val="0"/>
      <w:marTop w:val="0"/>
      <w:marBottom w:val="0"/>
      <w:divBdr>
        <w:top w:val="none" w:sz="0" w:space="0" w:color="auto"/>
        <w:left w:val="none" w:sz="0" w:space="0" w:color="auto"/>
        <w:bottom w:val="none" w:sz="0" w:space="0" w:color="auto"/>
        <w:right w:val="none" w:sz="0" w:space="0" w:color="auto"/>
      </w:divBdr>
    </w:div>
    <w:div w:id="1603293351">
      <w:bodyDiv w:val="1"/>
      <w:marLeft w:val="0"/>
      <w:marRight w:val="0"/>
      <w:marTop w:val="0"/>
      <w:marBottom w:val="0"/>
      <w:divBdr>
        <w:top w:val="none" w:sz="0" w:space="0" w:color="auto"/>
        <w:left w:val="none" w:sz="0" w:space="0" w:color="auto"/>
        <w:bottom w:val="none" w:sz="0" w:space="0" w:color="auto"/>
        <w:right w:val="none" w:sz="0" w:space="0" w:color="auto"/>
      </w:divBdr>
    </w:div>
    <w:div w:id="1665472870">
      <w:bodyDiv w:val="1"/>
      <w:marLeft w:val="0"/>
      <w:marRight w:val="0"/>
      <w:marTop w:val="0"/>
      <w:marBottom w:val="0"/>
      <w:divBdr>
        <w:top w:val="none" w:sz="0" w:space="0" w:color="auto"/>
        <w:left w:val="none" w:sz="0" w:space="0" w:color="auto"/>
        <w:bottom w:val="none" w:sz="0" w:space="0" w:color="auto"/>
        <w:right w:val="none" w:sz="0" w:space="0" w:color="auto"/>
      </w:divBdr>
    </w:div>
    <w:div w:id="1669943995">
      <w:bodyDiv w:val="1"/>
      <w:marLeft w:val="0"/>
      <w:marRight w:val="0"/>
      <w:marTop w:val="0"/>
      <w:marBottom w:val="0"/>
      <w:divBdr>
        <w:top w:val="none" w:sz="0" w:space="0" w:color="auto"/>
        <w:left w:val="none" w:sz="0" w:space="0" w:color="auto"/>
        <w:bottom w:val="none" w:sz="0" w:space="0" w:color="auto"/>
        <w:right w:val="none" w:sz="0" w:space="0" w:color="auto"/>
      </w:divBdr>
    </w:div>
    <w:div w:id="1671519614">
      <w:bodyDiv w:val="1"/>
      <w:marLeft w:val="0"/>
      <w:marRight w:val="0"/>
      <w:marTop w:val="0"/>
      <w:marBottom w:val="0"/>
      <w:divBdr>
        <w:top w:val="none" w:sz="0" w:space="0" w:color="auto"/>
        <w:left w:val="none" w:sz="0" w:space="0" w:color="auto"/>
        <w:bottom w:val="none" w:sz="0" w:space="0" w:color="auto"/>
        <w:right w:val="none" w:sz="0" w:space="0" w:color="auto"/>
      </w:divBdr>
    </w:div>
    <w:div w:id="1682123588">
      <w:bodyDiv w:val="1"/>
      <w:marLeft w:val="0"/>
      <w:marRight w:val="0"/>
      <w:marTop w:val="0"/>
      <w:marBottom w:val="0"/>
      <w:divBdr>
        <w:top w:val="none" w:sz="0" w:space="0" w:color="auto"/>
        <w:left w:val="none" w:sz="0" w:space="0" w:color="auto"/>
        <w:bottom w:val="none" w:sz="0" w:space="0" w:color="auto"/>
        <w:right w:val="none" w:sz="0" w:space="0" w:color="auto"/>
      </w:divBdr>
    </w:div>
    <w:div w:id="1727070511">
      <w:bodyDiv w:val="1"/>
      <w:marLeft w:val="0"/>
      <w:marRight w:val="0"/>
      <w:marTop w:val="0"/>
      <w:marBottom w:val="0"/>
      <w:divBdr>
        <w:top w:val="none" w:sz="0" w:space="0" w:color="auto"/>
        <w:left w:val="none" w:sz="0" w:space="0" w:color="auto"/>
        <w:bottom w:val="none" w:sz="0" w:space="0" w:color="auto"/>
        <w:right w:val="none" w:sz="0" w:space="0" w:color="auto"/>
      </w:divBdr>
    </w:div>
    <w:div w:id="1741831758">
      <w:bodyDiv w:val="1"/>
      <w:marLeft w:val="0"/>
      <w:marRight w:val="0"/>
      <w:marTop w:val="0"/>
      <w:marBottom w:val="0"/>
      <w:divBdr>
        <w:top w:val="none" w:sz="0" w:space="0" w:color="auto"/>
        <w:left w:val="none" w:sz="0" w:space="0" w:color="auto"/>
        <w:bottom w:val="none" w:sz="0" w:space="0" w:color="auto"/>
        <w:right w:val="none" w:sz="0" w:space="0" w:color="auto"/>
      </w:divBdr>
    </w:div>
    <w:div w:id="1794057731">
      <w:bodyDiv w:val="1"/>
      <w:marLeft w:val="0"/>
      <w:marRight w:val="0"/>
      <w:marTop w:val="0"/>
      <w:marBottom w:val="0"/>
      <w:divBdr>
        <w:top w:val="none" w:sz="0" w:space="0" w:color="auto"/>
        <w:left w:val="none" w:sz="0" w:space="0" w:color="auto"/>
        <w:bottom w:val="none" w:sz="0" w:space="0" w:color="auto"/>
        <w:right w:val="none" w:sz="0" w:space="0" w:color="auto"/>
      </w:divBdr>
    </w:div>
    <w:div w:id="1796682157">
      <w:bodyDiv w:val="1"/>
      <w:marLeft w:val="0"/>
      <w:marRight w:val="0"/>
      <w:marTop w:val="0"/>
      <w:marBottom w:val="0"/>
      <w:divBdr>
        <w:top w:val="none" w:sz="0" w:space="0" w:color="auto"/>
        <w:left w:val="none" w:sz="0" w:space="0" w:color="auto"/>
        <w:bottom w:val="none" w:sz="0" w:space="0" w:color="auto"/>
        <w:right w:val="none" w:sz="0" w:space="0" w:color="auto"/>
      </w:divBdr>
    </w:div>
    <w:div w:id="1818691378">
      <w:bodyDiv w:val="1"/>
      <w:marLeft w:val="0"/>
      <w:marRight w:val="0"/>
      <w:marTop w:val="0"/>
      <w:marBottom w:val="0"/>
      <w:divBdr>
        <w:top w:val="none" w:sz="0" w:space="0" w:color="auto"/>
        <w:left w:val="none" w:sz="0" w:space="0" w:color="auto"/>
        <w:bottom w:val="none" w:sz="0" w:space="0" w:color="auto"/>
        <w:right w:val="none" w:sz="0" w:space="0" w:color="auto"/>
      </w:divBdr>
    </w:div>
    <w:div w:id="1857427560">
      <w:bodyDiv w:val="1"/>
      <w:marLeft w:val="0"/>
      <w:marRight w:val="0"/>
      <w:marTop w:val="0"/>
      <w:marBottom w:val="0"/>
      <w:divBdr>
        <w:top w:val="none" w:sz="0" w:space="0" w:color="auto"/>
        <w:left w:val="none" w:sz="0" w:space="0" w:color="auto"/>
        <w:bottom w:val="none" w:sz="0" w:space="0" w:color="auto"/>
        <w:right w:val="none" w:sz="0" w:space="0" w:color="auto"/>
      </w:divBdr>
    </w:div>
    <w:div w:id="1859268550">
      <w:bodyDiv w:val="1"/>
      <w:marLeft w:val="0"/>
      <w:marRight w:val="0"/>
      <w:marTop w:val="0"/>
      <w:marBottom w:val="0"/>
      <w:divBdr>
        <w:top w:val="none" w:sz="0" w:space="0" w:color="auto"/>
        <w:left w:val="none" w:sz="0" w:space="0" w:color="auto"/>
        <w:bottom w:val="none" w:sz="0" w:space="0" w:color="auto"/>
        <w:right w:val="none" w:sz="0" w:space="0" w:color="auto"/>
      </w:divBdr>
    </w:div>
    <w:div w:id="1962376262">
      <w:bodyDiv w:val="1"/>
      <w:marLeft w:val="0"/>
      <w:marRight w:val="0"/>
      <w:marTop w:val="0"/>
      <w:marBottom w:val="0"/>
      <w:divBdr>
        <w:top w:val="none" w:sz="0" w:space="0" w:color="auto"/>
        <w:left w:val="none" w:sz="0" w:space="0" w:color="auto"/>
        <w:bottom w:val="none" w:sz="0" w:space="0" w:color="auto"/>
        <w:right w:val="none" w:sz="0" w:space="0" w:color="auto"/>
      </w:divBdr>
    </w:div>
    <w:div w:id="1975090200">
      <w:bodyDiv w:val="1"/>
      <w:marLeft w:val="0"/>
      <w:marRight w:val="0"/>
      <w:marTop w:val="0"/>
      <w:marBottom w:val="0"/>
      <w:divBdr>
        <w:top w:val="none" w:sz="0" w:space="0" w:color="auto"/>
        <w:left w:val="none" w:sz="0" w:space="0" w:color="auto"/>
        <w:bottom w:val="none" w:sz="0" w:space="0" w:color="auto"/>
        <w:right w:val="none" w:sz="0" w:space="0" w:color="auto"/>
      </w:divBdr>
    </w:div>
    <w:div w:id="2025670572">
      <w:bodyDiv w:val="1"/>
      <w:marLeft w:val="0"/>
      <w:marRight w:val="0"/>
      <w:marTop w:val="0"/>
      <w:marBottom w:val="0"/>
      <w:divBdr>
        <w:top w:val="none" w:sz="0" w:space="0" w:color="auto"/>
        <w:left w:val="none" w:sz="0" w:space="0" w:color="auto"/>
        <w:bottom w:val="none" w:sz="0" w:space="0" w:color="auto"/>
        <w:right w:val="none" w:sz="0" w:space="0" w:color="auto"/>
      </w:divBdr>
    </w:div>
    <w:div w:id="2041083718">
      <w:bodyDiv w:val="1"/>
      <w:marLeft w:val="0"/>
      <w:marRight w:val="0"/>
      <w:marTop w:val="0"/>
      <w:marBottom w:val="0"/>
      <w:divBdr>
        <w:top w:val="none" w:sz="0" w:space="0" w:color="auto"/>
        <w:left w:val="none" w:sz="0" w:space="0" w:color="auto"/>
        <w:bottom w:val="none" w:sz="0" w:space="0" w:color="auto"/>
        <w:right w:val="none" w:sz="0" w:space="0" w:color="auto"/>
      </w:divBdr>
    </w:div>
    <w:div w:id="2055619444">
      <w:bodyDiv w:val="1"/>
      <w:marLeft w:val="0"/>
      <w:marRight w:val="0"/>
      <w:marTop w:val="0"/>
      <w:marBottom w:val="0"/>
      <w:divBdr>
        <w:top w:val="none" w:sz="0" w:space="0" w:color="auto"/>
        <w:left w:val="none" w:sz="0" w:space="0" w:color="auto"/>
        <w:bottom w:val="none" w:sz="0" w:space="0" w:color="auto"/>
        <w:right w:val="none" w:sz="0" w:space="0" w:color="auto"/>
      </w:divBdr>
    </w:div>
    <w:div w:id="2060977756">
      <w:bodyDiv w:val="1"/>
      <w:marLeft w:val="0"/>
      <w:marRight w:val="0"/>
      <w:marTop w:val="0"/>
      <w:marBottom w:val="0"/>
      <w:divBdr>
        <w:top w:val="none" w:sz="0" w:space="0" w:color="auto"/>
        <w:left w:val="none" w:sz="0" w:space="0" w:color="auto"/>
        <w:bottom w:val="none" w:sz="0" w:space="0" w:color="auto"/>
        <w:right w:val="none" w:sz="0" w:space="0" w:color="auto"/>
      </w:divBdr>
    </w:div>
    <w:div w:id="2067796966">
      <w:bodyDiv w:val="1"/>
      <w:marLeft w:val="0"/>
      <w:marRight w:val="0"/>
      <w:marTop w:val="0"/>
      <w:marBottom w:val="0"/>
      <w:divBdr>
        <w:top w:val="none" w:sz="0" w:space="0" w:color="auto"/>
        <w:left w:val="none" w:sz="0" w:space="0" w:color="auto"/>
        <w:bottom w:val="none" w:sz="0" w:space="0" w:color="auto"/>
        <w:right w:val="none" w:sz="0" w:space="0" w:color="auto"/>
      </w:divBdr>
    </w:div>
    <w:div w:id="212634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ata.com.tr/tr/" TargetMode="External"/><Relationship Id="rId3" Type="http://schemas.openxmlformats.org/officeDocument/2006/relationships/webSettings" Target="webSettings.xml"/><Relationship Id="rId7" Type="http://schemas.openxmlformats.org/officeDocument/2006/relationships/hyperlink" Target="http://www.esteri.it/visti/index_eng.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xUriServ/LexUriServ.do?uri=CELEX:31980L0232:EN:HTML" TargetMode="External"/><Relationship Id="rId11" Type="http://schemas.openxmlformats.org/officeDocument/2006/relationships/fontTable" Target="fontTable.xml"/><Relationship Id="rId5" Type="http://schemas.openxmlformats.org/officeDocument/2006/relationships/hyperlink" Target="http://www.invitalia.it/" TargetMode="External"/><Relationship Id="rId10" Type="http://schemas.openxmlformats.org/officeDocument/2006/relationships/hyperlink" Target="http://www.esteri.it/visti/costi_eng.asp" TargetMode="External"/><Relationship Id="rId4" Type="http://schemas.openxmlformats.org/officeDocument/2006/relationships/image" Target="media/image1.jpeg"/><Relationship Id="rId9" Type="http://schemas.openxmlformats.org/officeDocument/2006/relationships/hyperlink" Target="http://visti.ambankara@esteri.i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20</Pages>
  <Words>9762</Words>
  <Characters>55646</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2019-05-22T10:42:00Z</dcterms:created>
  <dcterms:modified xsi:type="dcterms:W3CDTF">2019-05-27T13:11:00Z</dcterms:modified>
</cp:coreProperties>
</file>