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FE6" w:rsidRPr="00F97FE6" w:rsidRDefault="00F97FE6" w:rsidP="00F97FE6">
      <w:pPr>
        <w:jc w:val="center"/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F97FE6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Tüketici Fiyat Endeksi, Aralık 2019</w:t>
      </w:r>
    </w:p>
    <w:p w:rsidR="00F97FE6" w:rsidRPr="00F97FE6" w:rsidRDefault="00F97FE6" w:rsidP="00F97FE6">
      <w:pPr>
        <w:rPr>
          <w:rFonts w:ascii="Times New Roman" w:hAnsi="Times New Roman" w:cs="Times New Roman"/>
          <w:color w:val="943634" w:themeColor="accent2" w:themeShade="BF"/>
          <w:sz w:val="24"/>
          <w:szCs w:val="24"/>
        </w:rPr>
      </w:pPr>
      <w:r w:rsidRPr="00F97FE6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Tüketici fiyat endeksi (TÜFE) yıllık %11,84, aylık %0,74 arttı;</w:t>
      </w:r>
    </w:p>
    <w:p w:rsidR="00080DFA" w:rsidRDefault="00F97FE6" w:rsidP="00F97FE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97FE6">
        <w:rPr>
          <w:rFonts w:ascii="Times New Roman" w:hAnsi="Times New Roman" w:cs="Times New Roman"/>
          <w:sz w:val="24"/>
          <w:szCs w:val="24"/>
        </w:rPr>
        <w:t>TÜFE'de</w:t>
      </w:r>
      <w:proofErr w:type="spellEnd"/>
      <w:r w:rsidRPr="00F97FE6">
        <w:rPr>
          <w:rFonts w:ascii="Times New Roman" w:hAnsi="Times New Roman" w:cs="Times New Roman"/>
          <w:sz w:val="24"/>
          <w:szCs w:val="24"/>
        </w:rPr>
        <w:t xml:space="preserve"> (2003=100) 2019 yılı Aralık ayında bir önceki aya göre %0,74, bir önceki yılın Aralık ayına göre %11,84, bir önceki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7FE6">
        <w:rPr>
          <w:rFonts w:ascii="Times New Roman" w:hAnsi="Times New Roman" w:cs="Times New Roman"/>
          <w:sz w:val="24"/>
          <w:szCs w:val="24"/>
        </w:rPr>
        <w:t>yılın aynı ayına göre %11,84 ve on iki aylık ortalamalara göre %15,18 artış gerçekleşti.</w:t>
      </w:r>
    </w:p>
    <w:p w:rsidR="00F97FE6" w:rsidRDefault="00F97FE6" w:rsidP="00F97F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5760720" cy="1180670"/>
            <wp:effectExtent l="1905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80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7FE6" w:rsidRDefault="00F97FE6" w:rsidP="00F97FE6">
      <w:pPr>
        <w:rPr>
          <w:rFonts w:ascii="Times New Roman" w:hAnsi="Times New Roman" w:cs="Times New Roman"/>
          <w:sz w:val="24"/>
          <w:szCs w:val="24"/>
        </w:rPr>
      </w:pPr>
      <w:r w:rsidRPr="00F97FE6">
        <w:rPr>
          <w:rFonts w:ascii="Times New Roman" w:hAnsi="Times New Roman" w:cs="Times New Roman"/>
          <w:sz w:val="24"/>
          <w:szCs w:val="24"/>
        </w:rPr>
        <w:t>TÜFE yıllık değişim oranları (%), Aralık 2019</w:t>
      </w:r>
    </w:p>
    <w:p w:rsidR="00F97FE6" w:rsidRDefault="00F97FE6" w:rsidP="00F97F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5760720" cy="2299481"/>
            <wp:effectExtent l="1905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2994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7FE6" w:rsidRPr="00F97FE6" w:rsidRDefault="00F97FE6" w:rsidP="00F97FE6">
      <w:pPr>
        <w:rPr>
          <w:rFonts w:ascii="Times New Roman" w:hAnsi="Times New Roman" w:cs="Times New Roman"/>
          <w:color w:val="943634" w:themeColor="accent2" w:themeShade="BF"/>
          <w:sz w:val="24"/>
          <w:szCs w:val="24"/>
        </w:rPr>
      </w:pPr>
      <w:r w:rsidRPr="00F97FE6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Yıllık en düşük artış %3,16 ile haberleşme grubunda gerçekleşti</w:t>
      </w:r>
      <w:r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;</w:t>
      </w:r>
    </w:p>
    <w:p w:rsidR="00F97FE6" w:rsidRDefault="00F97FE6" w:rsidP="00F97FE6">
      <w:pPr>
        <w:rPr>
          <w:rFonts w:ascii="Times New Roman" w:hAnsi="Times New Roman" w:cs="Times New Roman"/>
          <w:sz w:val="24"/>
          <w:szCs w:val="24"/>
        </w:rPr>
      </w:pPr>
      <w:r w:rsidRPr="00F97FE6">
        <w:rPr>
          <w:rFonts w:ascii="Times New Roman" w:hAnsi="Times New Roman" w:cs="Times New Roman"/>
          <w:sz w:val="24"/>
          <w:szCs w:val="24"/>
        </w:rPr>
        <w:t>Bir önceki yılın aynı ayına göre artışın düşük olduğu diğer ana gruplar sırasıyla, %4,53 ile giyim ve ayakkabı, %7,03 ile eğlence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7FE6">
        <w:rPr>
          <w:rFonts w:ascii="Times New Roman" w:hAnsi="Times New Roman" w:cs="Times New Roman"/>
          <w:sz w:val="24"/>
          <w:szCs w:val="24"/>
        </w:rPr>
        <w:t>ve kültür ve %9,79 ile ev eşyası oldu. Buna karşılık, bir önceki yılın aynı ayına göre artışın yüksek olduğu ana gruplar ise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7FE6">
        <w:rPr>
          <w:rFonts w:ascii="Times New Roman" w:hAnsi="Times New Roman" w:cs="Times New Roman"/>
          <w:sz w:val="24"/>
          <w:szCs w:val="24"/>
        </w:rPr>
        <w:t>sırasıyla, %43,12 ile alkollü içecekler ve tütün, %14,46 ile eğitim, %13,63 ile sağlık ve çeşitli mal ve hizmetler oldu.</w:t>
      </w:r>
    </w:p>
    <w:p w:rsidR="00F97FE6" w:rsidRDefault="00F97FE6" w:rsidP="00F97FE6">
      <w:pPr>
        <w:rPr>
          <w:rFonts w:ascii="Times New Roman" w:hAnsi="Times New Roman" w:cs="Times New Roman"/>
          <w:sz w:val="24"/>
          <w:szCs w:val="24"/>
        </w:rPr>
      </w:pPr>
    </w:p>
    <w:p w:rsidR="00F97FE6" w:rsidRDefault="00F97FE6" w:rsidP="00F97FE6">
      <w:pPr>
        <w:rPr>
          <w:rFonts w:ascii="Times New Roman" w:hAnsi="Times New Roman" w:cs="Times New Roman"/>
          <w:sz w:val="24"/>
          <w:szCs w:val="24"/>
        </w:rPr>
      </w:pPr>
    </w:p>
    <w:p w:rsidR="00F97FE6" w:rsidRDefault="00F97FE6" w:rsidP="00F97FE6">
      <w:pPr>
        <w:rPr>
          <w:rFonts w:ascii="Times New Roman" w:hAnsi="Times New Roman" w:cs="Times New Roman"/>
          <w:sz w:val="24"/>
          <w:szCs w:val="24"/>
        </w:rPr>
      </w:pPr>
    </w:p>
    <w:p w:rsidR="00F97FE6" w:rsidRDefault="00F97FE6" w:rsidP="00F97FE6">
      <w:pPr>
        <w:rPr>
          <w:rFonts w:ascii="Times New Roman" w:hAnsi="Times New Roman" w:cs="Times New Roman"/>
          <w:sz w:val="24"/>
          <w:szCs w:val="24"/>
        </w:rPr>
      </w:pPr>
    </w:p>
    <w:p w:rsidR="00F97FE6" w:rsidRDefault="00F97FE6" w:rsidP="00F97FE6">
      <w:pPr>
        <w:rPr>
          <w:rFonts w:ascii="Times New Roman" w:hAnsi="Times New Roman" w:cs="Times New Roman"/>
          <w:sz w:val="24"/>
          <w:szCs w:val="24"/>
        </w:rPr>
      </w:pPr>
    </w:p>
    <w:p w:rsidR="00F97FE6" w:rsidRDefault="00F97FE6" w:rsidP="00F97FE6">
      <w:pPr>
        <w:rPr>
          <w:rFonts w:ascii="Times New Roman" w:hAnsi="Times New Roman" w:cs="Times New Roman"/>
          <w:sz w:val="24"/>
          <w:szCs w:val="24"/>
        </w:rPr>
      </w:pPr>
    </w:p>
    <w:p w:rsidR="00F97FE6" w:rsidRDefault="00F97FE6" w:rsidP="00F97FE6">
      <w:pPr>
        <w:rPr>
          <w:rFonts w:ascii="Times New Roman" w:hAnsi="Times New Roman" w:cs="Times New Roman"/>
          <w:sz w:val="24"/>
          <w:szCs w:val="24"/>
        </w:rPr>
      </w:pPr>
      <w:r w:rsidRPr="00F97FE6">
        <w:rPr>
          <w:rFonts w:ascii="Times New Roman" w:hAnsi="Times New Roman" w:cs="Times New Roman"/>
          <w:sz w:val="24"/>
          <w:szCs w:val="24"/>
        </w:rPr>
        <w:lastRenderedPageBreak/>
        <w:t>TÜFE ana harcama gruplarına göre yıllık değişim oranları (%), Aralık 2019</w:t>
      </w:r>
    </w:p>
    <w:p w:rsidR="00F97FE6" w:rsidRDefault="00F97FE6" w:rsidP="00F97F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5760720" cy="2411651"/>
            <wp:effectExtent l="19050" t="0" r="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4116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7FE6" w:rsidRPr="00F97FE6" w:rsidRDefault="00F97FE6" w:rsidP="00F97FE6">
      <w:pPr>
        <w:rPr>
          <w:rFonts w:ascii="Times New Roman" w:hAnsi="Times New Roman" w:cs="Times New Roman"/>
          <w:color w:val="943634" w:themeColor="accent2" w:themeShade="BF"/>
          <w:sz w:val="24"/>
          <w:szCs w:val="24"/>
        </w:rPr>
      </w:pPr>
      <w:r w:rsidRPr="00F97FE6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Aylık en yüksek azalış %1,91 ile giyim ve ayakkabı grubunda oldu;</w:t>
      </w:r>
    </w:p>
    <w:p w:rsidR="00F97FE6" w:rsidRDefault="00F97FE6" w:rsidP="00F97FE6">
      <w:pPr>
        <w:rPr>
          <w:rFonts w:ascii="Times New Roman" w:hAnsi="Times New Roman" w:cs="Times New Roman"/>
          <w:sz w:val="24"/>
          <w:szCs w:val="24"/>
        </w:rPr>
      </w:pPr>
      <w:r w:rsidRPr="00F97FE6">
        <w:rPr>
          <w:rFonts w:ascii="Times New Roman" w:hAnsi="Times New Roman" w:cs="Times New Roman"/>
          <w:sz w:val="24"/>
          <w:szCs w:val="24"/>
        </w:rPr>
        <w:t>Ana harcama grupları itibarıyla 2019 yılı Aralık ayında azalış gösteren diğer bir grup %0,11 ile eğlence ve kültür oldu. Buna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7FE6">
        <w:rPr>
          <w:rFonts w:ascii="Times New Roman" w:hAnsi="Times New Roman" w:cs="Times New Roman"/>
          <w:sz w:val="24"/>
          <w:szCs w:val="24"/>
        </w:rPr>
        <w:t>karşılık, ana harcama grupları itibarıyla 2019 yılı Aralık ayında artışın yüksek olduğu gruplar sırasıyla, %2,93 ile gıda ve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7FE6">
        <w:rPr>
          <w:rFonts w:ascii="Times New Roman" w:hAnsi="Times New Roman" w:cs="Times New Roman"/>
          <w:sz w:val="24"/>
          <w:szCs w:val="24"/>
        </w:rPr>
        <w:t>alkolsüz içecekler, %0,57 ile ulaştırma, %0,42 ile sağlık ve çeşitli mal ve hizmetler oldu.</w:t>
      </w:r>
    </w:p>
    <w:p w:rsidR="00F97FE6" w:rsidRDefault="00F97FE6" w:rsidP="00F97FE6">
      <w:pPr>
        <w:rPr>
          <w:rFonts w:ascii="Times New Roman" w:hAnsi="Times New Roman" w:cs="Times New Roman"/>
          <w:sz w:val="24"/>
          <w:szCs w:val="24"/>
        </w:rPr>
      </w:pPr>
      <w:r w:rsidRPr="00F97FE6">
        <w:rPr>
          <w:rFonts w:ascii="Times New Roman" w:hAnsi="Times New Roman" w:cs="Times New Roman"/>
          <w:sz w:val="24"/>
          <w:szCs w:val="24"/>
        </w:rPr>
        <w:t>TÜFE ana harcama gruplarına göre aylık değişim oranları (%), Aralık 2019</w:t>
      </w:r>
    </w:p>
    <w:p w:rsidR="00F97FE6" w:rsidRDefault="00F97FE6" w:rsidP="00F97F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5760720" cy="2411651"/>
            <wp:effectExtent l="19050" t="0" r="0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4116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7FE6" w:rsidRDefault="00F97FE6" w:rsidP="00F97FE6">
      <w:pPr>
        <w:rPr>
          <w:rFonts w:ascii="Times New Roman" w:hAnsi="Times New Roman" w:cs="Times New Roman"/>
          <w:sz w:val="24"/>
          <w:szCs w:val="24"/>
        </w:rPr>
      </w:pPr>
      <w:r w:rsidRPr="00F97FE6">
        <w:rPr>
          <w:rFonts w:ascii="Times New Roman" w:hAnsi="Times New Roman" w:cs="Times New Roman"/>
          <w:sz w:val="24"/>
          <w:szCs w:val="24"/>
        </w:rPr>
        <w:t>Aralık 2019'da, endekste kapsanan 418 maddeden, 131 maddenin ortalama fiyatında düşüş gerçekleşirken, 34 maddenin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7FE6">
        <w:rPr>
          <w:rFonts w:ascii="Times New Roman" w:hAnsi="Times New Roman" w:cs="Times New Roman"/>
          <w:sz w:val="24"/>
          <w:szCs w:val="24"/>
        </w:rPr>
        <w:t>ortalama fiyatında değişim olmadı. 253 maddenin ortalama fiyatında ise artış gerçekleşti.</w:t>
      </w:r>
    </w:p>
    <w:p w:rsidR="00F97FE6" w:rsidRDefault="00F97FE6" w:rsidP="00F97FE6">
      <w:pPr>
        <w:rPr>
          <w:rFonts w:ascii="Times New Roman" w:hAnsi="Times New Roman" w:cs="Times New Roman"/>
          <w:sz w:val="24"/>
          <w:szCs w:val="24"/>
        </w:rPr>
      </w:pPr>
    </w:p>
    <w:p w:rsidR="00F97FE6" w:rsidRDefault="00F97FE6" w:rsidP="00F97FE6">
      <w:pPr>
        <w:rPr>
          <w:rFonts w:ascii="Times New Roman" w:hAnsi="Times New Roman" w:cs="Times New Roman"/>
          <w:sz w:val="24"/>
          <w:szCs w:val="24"/>
        </w:rPr>
      </w:pPr>
    </w:p>
    <w:p w:rsidR="00F97FE6" w:rsidRDefault="00F97FE6" w:rsidP="00F97FE6">
      <w:pPr>
        <w:rPr>
          <w:rFonts w:ascii="Times New Roman" w:hAnsi="Times New Roman" w:cs="Times New Roman"/>
          <w:sz w:val="24"/>
          <w:szCs w:val="24"/>
        </w:rPr>
      </w:pPr>
    </w:p>
    <w:p w:rsidR="00F97FE6" w:rsidRDefault="00F97FE6" w:rsidP="00F97F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lastRenderedPageBreak/>
        <w:drawing>
          <wp:inline distT="0" distB="0" distL="0" distR="0">
            <wp:extent cx="5760720" cy="3446923"/>
            <wp:effectExtent l="19050" t="0" r="0" b="0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4469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7FE6" w:rsidRPr="00F97FE6" w:rsidRDefault="00F97FE6" w:rsidP="00F97FE6">
      <w:pPr>
        <w:rPr>
          <w:rFonts w:ascii="Times New Roman" w:hAnsi="Times New Roman" w:cs="Times New Roman"/>
          <w:color w:val="943634" w:themeColor="accent2" w:themeShade="BF"/>
          <w:sz w:val="24"/>
          <w:szCs w:val="24"/>
        </w:rPr>
      </w:pPr>
      <w:r w:rsidRPr="00F97FE6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Özel kapsamlı TÜFE göstergesi (B) yıllık %10,76, aylık %0,41 arttı;</w:t>
      </w:r>
    </w:p>
    <w:p w:rsidR="00F97FE6" w:rsidRDefault="00F97FE6" w:rsidP="00F97FE6">
      <w:pPr>
        <w:rPr>
          <w:rFonts w:ascii="Times New Roman" w:hAnsi="Times New Roman" w:cs="Times New Roman"/>
          <w:sz w:val="24"/>
          <w:szCs w:val="24"/>
        </w:rPr>
      </w:pPr>
      <w:r w:rsidRPr="00F97FE6">
        <w:rPr>
          <w:rFonts w:ascii="Times New Roman" w:hAnsi="Times New Roman" w:cs="Times New Roman"/>
          <w:sz w:val="24"/>
          <w:szCs w:val="24"/>
        </w:rPr>
        <w:t xml:space="preserve">İşlenmemiş gıda ürünleri, enerji, alkollü içkiler ve tütün ile altın hariç </w:t>
      </w:r>
      <w:proofErr w:type="spellStart"/>
      <w:r w:rsidRPr="00F97FE6">
        <w:rPr>
          <w:rFonts w:ascii="Times New Roman" w:hAnsi="Times New Roman" w:cs="Times New Roman"/>
          <w:sz w:val="24"/>
          <w:szCs w:val="24"/>
        </w:rPr>
        <w:t>TÜFE'de</w:t>
      </w:r>
      <w:proofErr w:type="spellEnd"/>
      <w:r w:rsidRPr="00F97FE6">
        <w:rPr>
          <w:rFonts w:ascii="Times New Roman" w:hAnsi="Times New Roman" w:cs="Times New Roman"/>
          <w:sz w:val="24"/>
          <w:szCs w:val="24"/>
        </w:rPr>
        <w:t xml:space="preserve"> 2019 yılı Aralık ayında bir önceki aya göre %0,41,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7FE6">
        <w:rPr>
          <w:rFonts w:ascii="Times New Roman" w:hAnsi="Times New Roman" w:cs="Times New Roman"/>
          <w:sz w:val="24"/>
          <w:szCs w:val="24"/>
        </w:rPr>
        <w:t>bir önceki yılın Aralık ayına göre %10,76, bir önceki yılın aynı ayına göre %10,76 ve on iki aylık ortalamalara göre %14,36 artış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7FE6">
        <w:rPr>
          <w:rFonts w:ascii="Times New Roman" w:hAnsi="Times New Roman" w:cs="Times New Roman"/>
          <w:sz w:val="24"/>
          <w:szCs w:val="24"/>
        </w:rPr>
        <w:t>gerçekleşti.</w:t>
      </w:r>
    </w:p>
    <w:p w:rsidR="00F97FE6" w:rsidRDefault="00F97FE6" w:rsidP="00F97F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5760720" cy="2955638"/>
            <wp:effectExtent l="19050" t="0" r="0" b="0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9556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7FE6" w:rsidRPr="00F97FE6" w:rsidRDefault="00F97FE6" w:rsidP="00F97FE6">
      <w:pPr>
        <w:rPr>
          <w:rFonts w:ascii="Times New Roman" w:hAnsi="Times New Roman" w:cs="Times New Roman"/>
          <w:sz w:val="24"/>
          <w:szCs w:val="24"/>
        </w:rPr>
      </w:pPr>
    </w:p>
    <w:p w:rsidR="00F97FE6" w:rsidRPr="00F97FE6" w:rsidRDefault="00F97FE6" w:rsidP="00F97FE6">
      <w:pPr>
        <w:rPr>
          <w:rFonts w:ascii="Times New Roman" w:hAnsi="Times New Roman" w:cs="Times New Roman"/>
          <w:sz w:val="24"/>
          <w:szCs w:val="24"/>
        </w:rPr>
      </w:pPr>
    </w:p>
    <w:sectPr w:rsidR="00F97FE6" w:rsidRPr="00F97FE6" w:rsidSect="00080D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97FE6"/>
    <w:rsid w:val="00080DFA"/>
    <w:rsid w:val="00F97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0DFA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97F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97F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theme" Target="theme/theme1.xml"/><Relationship Id="rId5" Type="http://schemas.openxmlformats.org/officeDocument/2006/relationships/image" Target="media/image2.emf"/><Relationship Id="rId10" Type="http://schemas.openxmlformats.org/officeDocument/2006/relationships/fontTable" Target="fontTable.xml"/><Relationship Id="rId4" Type="http://schemas.openxmlformats.org/officeDocument/2006/relationships/image" Target="media/image1.emf"/><Relationship Id="rId9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287</Words>
  <Characters>1641</Characters>
  <Application>Microsoft Office Word</Application>
  <DocSecurity>0</DocSecurity>
  <Lines>13</Lines>
  <Paragraphs>3</Paragraphs>
  <ScaleCrop>false</ScaleCrop>
  <Company/>
  <LinksUpToDate>false</LinksUpToDate>
  <CharactersWithSpaces>1925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frisb</dc:creator>
  <cp:keywords/>
  <dc:description/>
  <cp:lastModifiedBy>frisb</cp:lastModifiedBy>
  <cp:revision>2</cp:revision>
  <dcterms:created xsi:type="dcterms:W3CDTF">2020-01-16T08:42:00Z</dcterms:created>
  <dcterms:modified xsi:type="dcterms:W3CDTF">2020-01-16T08:48:00Z</dcterms:modified>
</cp:coreProperties>
</file>