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36" w:rsidRPr="005F6236" w:rsidRDefault="005F6236" w:rsidP="005F6236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</w:pPr>
      <w:r w:rsidRPr="005F6236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Finansal Yatırım Araçlarının Reel Getiri Oranları, Şubat 2020</w:t>
      </w:r>
    </w:p>
    <w:p w:rsidR="005F6236" w:rsidRDefault="005F6236" w:rsidP="005F6236">
      <w:pPr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</w:pPr>
      <w:r w:rsidRPr="005F6236">
        <w:rPr>
          <w:rFonts w:ascii="Times New Roman" w:hAnsi="Times New Roman" w:cs="Times New Roman"/>
          <w:sz w:val="24"/>
          <w:szCs w:val="24"/>
        </w:rPr>
        <w:br/>
      </w:r>
      <w:r w:rsidRPr="005F6236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Aylık en yüksek reel getiri külçe altında oldu</w:t>
      </w:r>
      <w:r w:rsidRPr="005F6236">
        <w:rPr>
          <w:rFonts w:ascii="Times New Roman" w:hAnsi="Times New Roman" w:cs="Times New Roman"/>
          <w:sz w:val="24"/>
          <w:szCs w:val="24"/>
        </w:rPr>
        <w:br/>
      </w:r>
      <w:r w:rsidRPr="005F6236">
        <w:rPr>
          <w:rFonts w:ascii="Times New Roman" w:hAnsi="Times New Roman" w:cs="Times New Roman"/>
          <w:sz w:val="24"/>
          <w:szCs w:val="24"/>
        </w:rPr>
        <w:br/>
        <w:t>En yüksek aylık reel getiri, yurt içi üretici fiyat endeksi (Yİ-ÜFE) ile indirgendiğinde %4,43, tüketici fiyat endeksi (TÜFE) ile indirgendiğinde ise %4,56 oranlarıyla külçe altında gerçekleşti.</w:t>
      </w:r>
      <w:r w:rsidRPr="005F6236">
        <w:rPr>
          <w:rFonts w:ascii="Times New Roman" w:hAnsi="Times New Roman" w:cs="Times New Roman"/>
          <w:sz w:val="24"/>
          <w:szCs w:val="24"/>
        </w:rPr>
        <w:br/>
      </w:r>
      <w:r w:rsidRPr="005F6236">
        <w:rPr>
          <w:rFonts w:ascii="Times New Roman" w:hAnsi="Times New Roman" w:cs="Times New Roman"/>
          <w:sz w:val="24"/>
          <w:szCs w:val="24"/>
        </w:rPr>
        <w:br/>
        <w:t>Yİ-ÜFE ile indirgendiğinde; yatırım araçlarından Amerikan Doları %1,83, mevduat faizi (brüt) %0,24, Euro %0,07 oranlarında kazandırırken; Devlet İç Borçlanma Senetleri (DİBS) %0,61 ve BIST 100 endeksi %1,46 oranlarında yatırımcısına kaybettirdi. TÜFE ile indirgendiğinde Amerikan Doları %1,96, mevduat faizi (brüt) %0,37, Euro %0,20 oranlarında kazandırırken; DİBS %0,48 ve BIST 100 endeksi %1,34 oranlarında yatırımcısına kaybettirdi.</w:t>
      </w:r>
      <w:r w:rsidRPr="005F6236">
        <w:rPr>
          <w:rFonts w:ascii="Times New Roman" w:hAnsi="Times New Roman" w:cs="Times New Roman"/>
          <w:sz w:val="24"/>
          <w:szCs w:val="24"/>
        </w:rPr>
        <w:br/>
      </w:r>
      <w:r w:rsidRPr="005F6236">
        <w:rPr>
          <w:rFonts w:ascii="Times New Roman" w:hAnsi="Times New Roman" w:cs="Times New Roman"/>
          <w:sz w:val="24"/>
          <w:szCs w:val="24"/>
        </w:rPr>
        <w:br/>
      </w:r>
      <w:r w:rsidRPr="005F6236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Finansal yatırım araçlarının aylık reel getiri oranları, Şubat 2020</w:t>
      </w:r>
    </w:p>
    <w:p w:rsidR="005F6236" w:rsidRDefault="005F6236" w:rsidP="005F6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57127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36" w:rsidRPr="005F6236" w:rsidRDefault="005F6236" w:rsidP="005F62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6236">
        <w:rPr>
          <w:rFonts w:ascii="Times New Roman" w:hAnsi="Times New Roman" w:cs="Times New Roman"/>
          <w:sz w:val="24"/>
          <w:szCs w:val="24"/>
        </w:rPr>
        <w:t>Külçe altın, üç aylık değerlendirmede; Yİ-ÜFE ile indirgendiğinde %11,49, TÜFE ile indirgendiğinde ise %12,11 oranında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236">
        <w:rPr>
          <w:rFonts w:ascii="Times New Roman" w:hAnsi="Times New Roman" w:cs="Times New Roman"/>
          <w:sz w:val="24"/>
          <w:szCs w:val="24"/>
        </w:rPr>
        <w:t>yatırımcısına en yüksek reel getiri sağlayan yatırım aracı olurken; mevduat faizi (brüt) Yİ-ÜFE ile indirgendiğinde %0,15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236">
        <w:rPr>
          <w:rFonts w:ascii="Times New Roman" w:hAnsi="Times New Roman" w:cs="Times New Roman"/>
          <w:sz w:val="24"/>
          <w:szCs w:val="24"/>
        </w:rPr>
        <w:t>oranında yatırımcısına en çok kaybettiren; TÜFE ile indirgendiğinde ise %0,41 oranında en az kazandıran yatırım aracı oldu.</w:t>
      </w:r>
      <w:proofErr w:type="gramEnd"/>
    </w:p>
    <w:p w:rsidR="005F6236" w:rsidRDefault="005F6236" w:rsidP="005F62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5F6236" w:rsidRDefault="005F6236" w:rsidP="005F62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5F6236" w:rsidRDefault="005F6236" w:rsidP="005F62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5F6236" w:rsidRDefault="005F6236" w:rsidP="005F62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5F6236" w:rsidRDefault="005F6236" w:rsidP="005F62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5F6236" w:rsidRDefault="005F6236" w:rsidP="005F62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5F623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Finansal yatırım araçlarının üç aylık reel getiri oranları, Şubat 2020</w:t>
      </w:r>
    </w:p>
    <w:p w:rsidR="005F6236" w:rsidRPr="005F6236" w:rsidRDefault="005F6236" w:rsidP="005F62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434107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ECC" w:rsidRDefault="005F6236" w:rsidP="005F6236">
      <w:pPr>
        <w:rPr>
          <w:rFonts w:ascii="Times New Roman" w:hAnsi="Times New Roman" w:cs="Times New Roman"/>
          <w:sz w:val="24"/>
          <w:szCs w:val="24"/>
        </w:rPr>
      </w:pPr>
      <w:r w:rsidRPr="005F6236">
        <w:rPr>
          <w:rFonts w:ascii="Times New Roman" w:hAnsi="Times New Roman" w:cs="Times New Roman"/>
          <w:sz w:val="24"/>
          <w:szCs w:val="24"/>
        </w:rPr>
        <w:t>Altı aylık değerlendirmeye göre BIST 100 endeksi; Yİ-ÜFE ile indirgendiğinde %17,21, TÜFE ile indirgendiğinde ise %14,23 oranında yatırımcısına en yüksek kazancı sağlayan yatırım aracı oldu. Aynı dönemde Euro, Yİ-ÜFE ile indirgendiğinde %2,02 oranında en az kazandıran yatırım aracı olurken; TÜFE ile indirgendiğinde ise %0,57 oranında yatırımcısına en çok kaybettiren yatırım aracı oldu.</w:t>
      </w:r>
    </w:p>
    <w:p w:rsidR="005F6236" w:rsidRDefault="005F6236" w:rsidP="005F62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5F623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Finansal yatırım araçlarının altı aylık reel getiri oranları, Şubat 2020</w:t>
      </w:r>
    </w:p>
    <w:p w:rsidR="005F6236" w:rsidRDefault="005F6236" w:rsidP="005F62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395008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36" w:rsidRPr="005F6236" w:rsidRDefault="005F6236" w:rsidP="005F62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5F623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Yıllık değerlendirmede en yüksek reel getiri külçe altında gerçekleşti</w:t>
      </w:r>
    </w:p>
    <w:p w:rsidR="005F6236" w:rsidRPr="005F6236" w:rsidRDefault="005F6236" w:rsidP="005F62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236">
        <w:rPr>
          <w:rFonts w:ascii="Times New Roman" w:hAnsi="Times New Roman" w:cs="Times New Roman"/>
          <w:color w:val="000000" w:themeColor="text1"/>
          <w:sz w:val="24"/>
          <w:szCs w:val="24"/>
        </w:rPr>
        <w:t>Finansal yatırım araçları yıllık olarak değerlendirildiğinde külçe altın; Yİ-ÜFE ile indirgendiğinde %27,64, TÜFE ile indirgendiğinde ise %24,11 oranında yatırımcısına en yüksek reel getiriyi sağlayan yatırım aracı oldu.</w:t>
      </w:r>
    </w:p>
    <w:p w:rsidR="005F6236" w:rsidRPr="005F6236" w:rsidRDefault="005F6236" w:rsidP="005F62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236">
        <w:rPr>
          <w:rFonts w:ascii="Times New Roman" w:hAnsi="Times New Roman" w:cs="Times New Roman"/>
          <w:color w:val="000000" w:themeColor="text1"/>
          <w:sz w:val="24"/>
          <w:szCs w:val="24"/>
        </w:rPr>
        <w:t>Yıllık değerlendirmede, Yİ-ÜFE ile indirgendiğinde; yatırım araçlarından DİBS %16,68, mevduat faizi (brüt) %9,56, Amerikan Doları %5,24, BIST 100 endeksi %4,83 ve Euro %1,15 oranında yatırımcısına kazandırmıştır. TÜFE ile indirgendiğinde DİBS</w:t>
      </w:r>
    </w:p>
    <w:p w:rsidR="005F6236" w:rsidRPr="005F6236" w:rsidRDefault="005F6236" w:rsidP="005F62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2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%13,46, mevduat faizi (brüt) %6,53, Amerikan Doları %2,33, BIST 100 endeksi %1,93 oranlarında kazandırırken; Euro %1,65 oranında yatırımcısına kaybettirmiştir.</w:t>
      </w:r>
    </w:p>
    <w:p w:rsidR="005F6236" w:rsidRDefault="005F6236" w:rsidP="005F62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5F623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Finansal yatırım araçlarının yıllık reel getiri oranları, Şubat 2020</w:t>
      </w:r>
    </w:p>
    <w:p w:rsidR="005F6236" w:rsidRDefault="005F6236" w:rsidP="005F62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479183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36" w:rsidRPr="005F6236" w:rsidRDefault="005F6236" w:rsidP="005F62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sectPr w:rsidR="005F6236" w:rsidRPr="005F6236" w:rsidSect="009B6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236"/>
    <w:rsid w:val="005F6236"/>
    <w:rsid w:val="009B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C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2227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926">
          <w:marLeft w:val="454"/>
          <w:marRight w:val="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5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149">
          <w:marLeft w:val="454"/>
          <w:marRight w:val="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2020-03-23T13:19:00Z</dcterms:created>
  <dcterms:modified xsi:type="dcterms:W3CDTF">2020-03-23T13:22:00Z</dcterms:modified>
</cp:coreProperties>
</file>