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63" w:rsidRPr="00867063" w:rsidRDefault="00867063" w:rsidP="00867063">
      <w:pPr>
        <w:jc w:val="cente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İzin İstatistikleri, Ocak-Aralık, 2019</w:t>
      </w:r>
    </w:p>
    <w:p w:rsidR="00867063" w:rsidRP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ruhsatı verilen yapıların yüzölçümü %52,4 azaldı</w:t>
      </w:r>
    </w:p>
    <w:p w:rsidR="00867063" w:rsidRPr="00867063" w:rsidRDefault="00867063" w:rsidP="00867063">
      <w:pPr>
        <w:rPr>
          <w:rFonts w:ascii="Times New Roman" w:hAnsi="Times New Roman" w:cs="Times New Roman"/>
          <w:sz w:val="24"/>
          <w:szCs w:val="24"/>
        </w:rPr>
      </w:pPr>
      <w:r w:rsidRPr="00867063">
        <w:rPr>
          <w:rFonts w:ascii="Times New Roman" w:hAnsi="Times New Roman" w:cs="Times New Roman"/>
          <w:sz w:val="24"/>
          <w:szCs w:val="24"/>
        </w:rPr>
        <w:t>Belediyeler tarafından verilen yapı ruhsatlarının 2019 yılında bir önceki yıla göre, bina sayısı %48,3, yüzölçümü %52,4, değeri</w:t>
      </w:r>
      <w:r>
        <w:rPr>
          <w:rFonts w:ascii="Times New Roman" w:hAnsi="Times New Roman" w:cs="Times New Roman"/>
          <w:sz w:val="24"/>
          <w:szCs w:val="24"/>
        </w:rPr>
        <w:t xml:space="preserve"> </w:t>
      </w:r>
      <w:r w:rsidRPr="00867063">
        <w:rPr>
          <w:rFonts w:ascii="Times New Roman" w:hAnsi="Times New Roman" w:cs="Times New Roman"/>
          <w:sz w:val="24"/>
          <w:szCs w:val="24"/>
        </w:rPr>
        <w:t>%43,8, daire sayısı %53,9 azaldı.</w:t>
      </w:r>
    </w:p>
    <w:p w:rsidR="007D7698"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ruhsatına göre yüzölçümü ve daire sayısı, Ocak-Aralık 2002-2019</w:t>
      </w:r>
    </w:p>
    <w:p w:rsidR="00867063" w:rsidRDefault="00867063" w:rsidP="00867063">
      <w:pPr>
        <w:rPr>
          <w:rFonts w:ascii="Times New Roman" w:hAnsi="Times New Roman" w:cs="Times New Roman"/>
          <w:b/>
          <w:color w:val="943634" w:themeColor="accent2" w:themeShade="BF"/>
          <w:sz w:val="24"/>
          <w:szCs w:val="24"/>
        </w:rPr>
      </w:pPr>
      <w:r>
        <w:rPr>
          <w:rFonts w:ascii="Times New Roman" w:hAnsi="Times New Roman" w:cs="Times New Roman"/>
          <w:b/>
          <w:noProof/>
          <w:color w:val="943634" w:themeColor="accent2" w:themeShade="BF"/>
          <w:sz w:val="24"/>
          <w:szCs w:val="24"/>
          <w:lang w:eastAsia="tr-TR"/>
        </w:rPr>
        <w:drawing>
          <wp:inline distT="0" distB="0" distL="0" distR="0">
            <wp:extent cx="5760720" cy="2382372"/>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2382372"/>
                    </a:xfrm>
                    <a:prstGeom prst="rect">
                      <a:avLst/>
                    </a:prstGeom>
                    <a:noFill/>
                    <a:ln w="9525">
                      <a:noFill/>
                      <a:miter lim="800000"/>
                      <a:headEnd/>
                      <a:tailEnd/>
                    </a:ln>
                  </pic:spPr>
                </pic:pic>
              </a:graphicData>
            </a:graphic>
          </wp:inline>
        </w:drawing>
      </w:r>
    </w:p>
    <w:p w:rsid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ruhsatı, Ocak-Aralık 2017-2019</w:t>
      </w:r>
    </w:p>
    <w:p w:rsidR="00867063" w:rsidRDefault="00867063" w:rsidP="00867063">
      <w:pPr>
        <w:rPr>
          <w:rFonts w:ascii="Times New Roman" w:hAnsi="Times New Roman" w:cs="Times New Roman"/>
          <w:b/>
          <w:color w:val="943634" w:themeColor="accent2" w:themeShade="BF"/>
          <w:sz w:val="24"/>
          <w:szCs w:val="24"/>
        </w:rPr>
      </w:pPr>
      <w:r>
        <w:rPr>
          <w:rFonts w:ascii="Times New Roman" w:hAnsi="Times New Roman" w:cs="Times New Roman"/>
          <w:b/>
          <w:noProof/>
          <w:color w:val="943634" w:themeColor="accent2" w:themeShade="BF"/>
          <w:sz w:val="24"/>
          <w:szCs w:val="24"/>
          <w:lang w:eastAsia="tr-TR"/>
        </w:rPr>
        <w:drawing>
          <wp:inline distT="0" distB="0" distL="0" distR="0">
            <wp:extent cx="5760720" cy="1616317"/>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60720" cy="1616317"/>
                    </a:xfrm>
                    <a:prstGeom prst="rect">
                      <a:avLst/>
                    </a:prstGeom>
                    <a:noFill/>
                    <a:ln w="9525">
                      <a:noFill/>
                      <a:miter lim="800000"/>
                      <a:headEnd/>
                      <a:tailEnd/>
                    </a:ln>
                  </pic:spPr>
                </pic:pic>
              </a:graphicData>
            </a:graphic>
          </wp:inline>
        </w:drawing>
      </w:r>
    </w:p>
    <w:p w:rsidR="00867063" w:rsidRP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Toplam yüzölçümün %48,7'si konut alanı olarak gerçekleşti</w:t>
      </w:r>
    </w:p>
    <w:p w:rsidR="00867063" w:rsidRPr="00867063" w:rsidRDefault="00867063" w:rsidP="00867063">
      <w:pPr>
        <w:rPr>
          <w:rFonts w:ascii="Times New Roman" w:hAnsi="Times New Roman" w:cs="Times New Roman"/>
          <w:color w:val="000000" w:themeColor="text1"/>
          <w:sz w:val="24"/>
          <w:szCs w:val="24"/>
        </w:rPr>
      </w:pPr>
      <w:r w:rsidRPr="00867063">
        <w:rPr>
          <w:rFonts w:ascii="Times New Roman" w:hAnsi="Times New Roman" w:cs="Times New Roman"/>
          <w:color w:val="000000" w:themeColor="text1"/>
          <w:sz w:val="24"/>
          <w:szCs w:val="24"/>
        </w:rPr>
        <w:t>Yapı ruhsatı verilen yapıların 2019 yılında toplam yüzölçümü 70,5 milyon m2 iken; bunun 34,4 milyon m2'si konut, 23,2 milyon m2'si konut dışı ve 12,9 milyon m2'si ortak kullanım alanı olarak gerçekleşti.</w:t>
      </w:r>
    </w:p>
    <w:p w:rsid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ruhsatına göre konut, konut dışı ve ortak alanların yüzölçümü payları, Ocak-Aralık 2017-2019</w:t>
      </w:r>
    </w:p>
    <w:p w:rsidR="00867063" w:rsidRDefault="00867063" w:rsidP="00867063">
      <w:pPr>
        <w:rPr>
          <w:rFonts w:ascii="Times New Roman" w:hAnsi="Times New Roman" w:cs="Times New Roman"/>
          <w:b/>
          <w:color w:val="943634" w:themeColor="accent2" w:themeShade="BF"/>
          <w:sz w:val="24"/>
          <w:szCs w:val="24"/>
        </w:rPr>
      </w:pPr>
      <w:r>
        <w:rPr>
          <w:rFonts w:ascii="Times New Roman" w:hAnsi="Times New Roman" w:cs="Times New Roman"/>
          <w:b/>
          <w:noProof/>
          <w:color w:val="943634" w:themeColor="accent2" w:themeShade="BF"/>
          <w:sz w:val="24"/>
          <w:szCs w:val="24"/>
          <w:lang w:eastAsia="tr-TR"/>
        </w:rPr>
        <w:lastRenderedPageBreak/>
        <w:drawing>
          <wp:inline distT="0" distB="0" distL="0" distR="0">
            <wp:extent cx="5760720" cy="229325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60720" cy="2293255"/>
                    </a:xfrm>
                    <a:prstGeom prst="rect">
                      <a:avLst/>
                    </a:prstGeom>
                    <a:noFill/>
                    <a:ln w="9525">
                      <a:noFill/>
                      <a:miter lim="800000"/>
                      <a:headEnd/>
                      <a:tailEnd/>
                    </a:ln>
                  </pic:spPr>
                </pic:pic>
              </a:graphicData>
            </a:graphic>
          </wp:inline>
        </w:drawing>
      </w:r>
    </w:p>
    <w:p w:rsidR="00867063" w:rsidRPr="00867063" w:rsidRDefault="00867063" w:rsidP="00867063">
      <w:pPr>
        <w:rPr>
          <w:rFonts w:ascii="Times New Roman" w:hAnsi="Times New Roman" w:cs="Times New Roman"/>
          <w:color w:val="000000" w:themeColor="text1"/>
          <w:sz w:val="24"/>
          <w:szCs w:val="24"/>
        </w:rPr>
      </w:pPr>
      <w:r w:rsidRPr="00867063">
        <w:rPr>
          <w:rFonts w:ascii="Times New Roman" w:hAnsi="Times New Roman" w:cs="Times New Roman"/>
          <w:color w:val="000000" w:themeColor="text1"/>
          <w:sz w:val="24"/>
          <w:szCs w:val="24"/>
        </w:rPr>
        <w:t>Kullanma amacına göre en yüksek pay %63,9 ile iki ve daha fazla daireli ikamet amaçlı binaların oldu Yapı ruhsatı verilen yapıların 2019 yılında kullanma amacına göre 45,1 milyon m2 ile en yüksek paya iki ve daha fazla daireli ikamet amaçlı binalar sahip oldu. Bunu 6,1 milyon m2 ile kamu eğlence, eğitim, hastane veya bakım kuruluşları binaları izledi.</w:t>
      </w:r>
    </w:p>
    <w:p w:rsid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ruhsatı kullanma amaçları yüzölçümüne göre paylar, Ocak-Aralık 2019</w:t>
      </w:r>
    </w:p>
    <w:p w:rsidR="00867063" w:rsidRDefault="00867063" w:rsidP="00867063">
      <w:pPr>
        <w:rPr>
          <w:rFonts w:ascii="Times New Roman" w:hAnsi="Times New Roman" w:cs="Times New Roman"/>
          <w:b/>
          <w:color w:val="943634" w:themeColor="accent2" w:themeShade="BF"/>
          <w:sz w:val="24"/>
          <w:szCs w:val="24"/>
        </w:rPr>
      </w:pPr>
      <w:r>
        <w:rPr>
          <w:rFonts w:ascii="Times New Roman" w:hAnsi="Times New Roman" w:cs="Times New Roman"/>
          <w:b/>
          <w:noProof/>
          <w:color w:val="943634" w:themeColor="accent2" w:themeShade="BF"/>
          <w:sz w:val="24"/>
          <w:szCs w:val="24"/>
          <w:lang w:eastAsia="tr-TR"/>
        </w:rPr>
        <w:drawing>
          <wp:inline distT="0" distB="0" distL="0" distR="0">
            <wp:extent cx="5760720" cy="2536013"/>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0720" cy="2536013"/>
                    </a:xfrm>
                    <a:prstGeom prst="rect">
                      <a:avLst/>
                    </a:prstGeom>
                    <a:noFill/>
                    <a:ln w="9525">
                      <a:noFill/>
                      <a:miter lim="800000"/>
                      <a:headEnd/>
                      <a:tailEnd/>
                    </a:ln>
                  </pic:spPr>
                </pic:pic>
              </a:graphicData>
            </a:graphic>
          </wp:inline>
        </w:drawing>
      </w:r>
    </w:p>
    <w:p w:rsidR="00867063" w:rsidRP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kullanma izin belgesi verilen yapıların yüzölçümü %14,5 azaldı</w:t>
      </w:r>
    </w:p>
    <w:p w:rsidR="00867063" w:rsidRPr="00867063" w:rsidRDefault="00867063" w:rsidP="00867063">
      <w:pPr>
        <w:rPr>
          <w:rFonts w:ascii="Times New Roman" w:hAnsi="Times New Roman" w:cs="Times New Roman"/>
          <w:color w:val="000000" w:themeColor="text1"/>
          <w:sz w:val="24"/>
          <w:szCs w:val="24"/>
        </w:rPr>
      </w:pPr>
      <w:r w:rsidRPr="00867063">
        <w:rPr>
          <w:rFonts w:ascii="Times New Roman" w:hAnsi="Times New Roman" w:cs="Times New Roman"/>
          <w:color w:val="000000" w:themeColor="text1"/>
          <w:sz w:val="24"/>
          <w:szCs w:val="24"/>
        </w:rPr>
        <w:t>Belediyeler tarafından verilen yapı kullanma izin belgelerinin 2019 yılında bir önceki yıla göre, bina sayısı %26,6, yüzölçümü %14,5, daire sayısı %17,8 azalırken, değeri %0,2 arttı.</w:t>
      </w:r>
    </w:p>
    <w:p w:rsid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kullanma izin belgesine göre yüzölçümü ve daire sayısı, Ocak-Aralık 2002-2019</w:t>
      </w:r>
    </w:p>
    <w:p w:rsidR="00867063" w:rsidRDefault="00867063" w:rsidP="00867063">
      <w:pPr>
        <w:rPr>
          <w:rFonts w:ascii="Times New Roman" w:hAnsi="Times New Roman" w:cs="Times New Roman"/>
          <w:b/>
          <w:color w:val="943634" w:themeColor="accent2" w:themeShade="BF"/>
          <w:sz w:val="24"/>
          <w:szCs w:val="24"/>
        </w:rPr>
      </w:pPr>
      <w:r>
        <w:rPr>
          <w:rFonts w:ascii="Times New Roman" w:hAnsi="Times New Roman" w:cs="Times New Roman"/>
          <w:b/>
          <w:noProof/>
          <w:color w:val="943634" w:themeColor="accent2" w:themeShade="BF"/>
          <w:sz w:val="24"/>
          <w:szCs w:val="24"/>
          <w:lang w:eastAsia="tr-TR"/>
        </w:rPr>
        <w:lastRenderedPageBreak/>
        <w:drawing>
          <wp:inline distT="0" distB="0" distL="0" distR="0">
            <wp:extent cx="5760720" cy="2411651"/>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60720" cy="2411651"/>
                    </a:xfrm>
                    <a:prstGeom prst="rect">
                      <a:avLst/>
                    </a:prstGeom>
                    <a:noFill/>
                    <a:ln w="9525">
                      <a:noFill/>
                      <a:miter lim="800000"/>
                      <a:headEnd/>
                      <a:tailEnd/>
                    </a:ln>
                  </pic:spPr>
                </pic:pic>
              </a:graphicData>
            </a:graphic>
          </wp:inline>
        </w:drawing>
      </w:r>
    </w:p>
    <w:p w:rsid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kullanma izin belgesi, Ocak-Aralık 2017-2019</w:t>
      </w:r>
    </w:p>
    <w:p w:rsidR="00867063" w:rsidRDefault="00867063" w:rsidP="00867063">
      <w:pPr>
        <w:rPr>
          <w:rFonts w:ascii="Times New Roman" w:hAnsi="Times New Roman" w:cs="Times New Roman"/>
          <w:b/>
          <w:color w:val="943634" w:themeColor="accent2" w:themeShade="BF"/>
          <w:sz w:val="24"/>
          <w:szCs w:val="24"/>
        </w:rPr>
      </w:pPr>
      <w:r>
        <w:rPr>
          <w:rFonts w:ascii="Times New Roman" w:hAnsi="Times New Roman" w:cs="Times New Roman"/>
          <w:b/>
          <w:noProof/>
          <w:color w:val="943634" w:themeColor="accent2" w:themeShade="BF"/>
          <w:sz w:val="24"/>
          <w:szCs w:val="24"/>
          <w:lang w:eastAsia="tr-TR"/>
        </w:rPr>
        <w:drawing>
          <wp:inline distT="0" distB="0" distL="0" distR="0">
            <wp:extent cx="5760720" cy="1624606"/>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60720" cy="1624606"/>
                    </a:xfrm>
                    <a:prstGeom prst="rect">
                      <a:avLst/>
                    </a:prstGeom>
                    <a:noFill/>
                    <a:ln w="9525">
                      <a:noFill/>
                      <a:miter lim="800000"/>
                      <a:headEnd/>
                      <a:tailEnd/>
                    </a:ln>
                  </pic:spPr>
                </pic:pic>
              </a:graphicData>
            </a:graphic>
          </wp:inline>
        </w:drawing>
      </w:r>
    </w:p>
    <w:p w:rsidR="00867063" w:rsidRP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Toplam yüzölçümün %56,9'u konut alanı olarak gerçekleşti</w:t>
      </w:r>
    </w:p>
    <w:p w:rsidR="00867063" w:rsidRPr="00867063" w:rsidRDefault="00867063" w:rsidP="00867063">
      <w:pPr>
        <w:rPr>
          <w:rFonts w:ascii="Times New Roman" w:hAnsi="Times New Roman" w:cs="Times New Roman"/>
          <w:color w:val="000000" w:themeColor="text1"/>
          <w:sz w:val="24"/>
          <w:szCs w:val="24"/>
        </w:rPr>
      </w:pPr>
      <w:r w:rsidRPr="00867063">
        <w:rPr>
          <w:rFonts w:ascii="Times New Roman" w:hAnsi="Times New Roman" w:cs="Times New Roman"/>
          <w:color w:val="000000" w:themeColor="text1"/>
          <w:sz w:val="24"/>
          <w:szCs w:val="24"/>
        </w:rPr>
        <w:t>Yapı kullanma izin belgesi verilen yapıların 2019 yılında toplam yüzölçümü 149,3 milyon m2 iken; bunun 85,0 milyon m2'si konut, 33,2 milyon m2'si konut dışı ve 31,1 milyon m2'si ortak kullanım alanı olarak gerçekleşti.</w:t>
      </w:r>
    </w:p>
    <w:p w:rsid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kullanma izin belgesine göre konut, konut dışı ve ortak alanların yüzölçümü payları, Ocak-Aralık 2017-2019</w:t>
      </w:r>
    </w:p>
    <w:p w:rsidR="00867063" w:rsidRDefault="00867063" w:rsidP="00867063">
      <w:pPr>
        <w:rPr>
          <w:rFonts w:ascii="Times New Roman" w:hAnsi="Times New Roman" w:cs="Times New Roman"/>
          <w:b/>
          <w:color w:val="943634" w:themeColor="accent2" w:themeShade="BF"/>
          <w:sz w:val="24"/>
          <w:szCs w:val="24"/>
        </w:rPr>
      </w:pPr>
      <w:r>
        <w:rPr>
          <w:rFonts w:ascii="Times New Roman" w:hAnsi="Times New Roman" w:cs="Times New Roman"/>
          <w:b/>
          <w:noProof/>
          <w:color w:val="943634" w:themeColor="accent2" w:themeShade="BF"/>
          <w:sz w:val="24"/>
          <w:szCs w:val="24"/>
          <w:lang w:eastAsia="tr-TR"/>
        </w:rPr>
        <w:drawing>
          <wp:inline distT="0" distB="0" distL="0" distR="0">
            <wp:extent cx="5760720" cy="2052306"/>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60720" cy="2052306"/>
                    </a:xfrm>
                    <a:prstGeom prst="rect">
                      <a:avLst/>
                    </a:prstGeom>
                    <a:noFill/>
                    <a:ln w="9525">
                      <a:noFill/>
                      <a:miter lim="800000"/>
                      <a:headEnd/>
                      <a:tailEnd/>
                    </a:ln>
                  </pic:spPr>
                </pic:pic>
              </a:graphicData>
            </a:graphic>
          </wp:inline>
        </w:drawing>
      </w:r>
    </w:p>
    <w:p w:rsidR="00867063" w:rsidRP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Kullanma amacına göre en yüksek pay %76,4 ile İki ve daha fazla daireli ikamet amaçlı binaların oldu</w:t>
      </w:r>
    </w:p>
    <w:p w:rsidR="00867063" w:rsidRP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color w:val="000000" w:themeColor="text1"/>
          <w:sz w:val="24"/>
          <w:szCs w:val="24"/>
        </w:rPr>
        <w:lastRenderedPageBreak/>
        <w:t>Yapı kullanma izin belgesi verilen yapıların 2019 yılında kullanma amacına göre 114,1 milyon m2 ile en yüksek paya iki ve daha fazla daireli ikamet amaçlı binalar sahip oldu. Bunu 9,9 milyon m2 ile toptan ve perakende ticaret binaları izledi</w:t>
      </w:r>
      <w:r w:rsidRPr="00867063">
        <w:rPr>
          <w:rFonts w:ascii="Times New Roman" w:hAnsi="Times New Roman" w:cs="Times New Roman"/>
          <w:b/>
          <w:color w:val="943634" w:themeColor="accent2" w:themeShade="BF"/>
          <w:sz w:val="24"/>
          <w:szCs w:val="24"/>
        </w:rPr>
        <w:t>.</w:t>
      </w:r>
    </w:p>
    <w:p w:rsidR="00867063" w:rsidRDefault="00867063" w:rsidP="00867063">
      <w:pPr>
        <w:rPr>
          <w:rFonts w:ascii="Times New Roman" w:hAnsi="Times New Roman" w:cs="Times New Roman"/>
          <w:b/>
          <w:color w:val="943634" w:themeColor="accent2" w:themeShade="BF"/>
          <w:sz w:val="24"/>
          <w:szCs w:val="24"/>
        </w:rPr>
      </w:pPr>
      <w:r w:rsidRPr="00867063">
        <w:rPr>
          <w:rFonts w:ascii="Times New Roman" w:hAnsi="Times New Roman" w:cs="Times New Roman"/>
          <w:b/>
          <w:color w:val="943634" w:themeColor="accent2" w:themeShade="BF"/>
          <w:sz w:val="24"/>
          <w:szCs w:val="24"/>
        </w:rPr>
        <w:t>Yapı kullanma izin belgesi kullanma amacına göre yüzölçümü payları, Ocak-Aralık2019</w:t>
      </w:r>
    </w:p>
    <w:p w:rsidR="00867063" w:rsidRPr="00867063" w:rsidRDefault="00867063" w:rsidP="00867063">
      <w:pPr>
        <w:rPr>
          <w:rFonts w:ascii="Times New Roman" w:hAnsi="Times New Roman" w:cs="Times New Roman"/>
          <w:b/>
          <w:color w:val="943634" w:themeColor="accent2" w:themeShade="BF"/>
          <w:sz w:val="24"/>
          <w:szCs w:val="24"/>
        </w:rPr>
      </w:pPr>
      <w:r>
        <w:rPr>
          <w:rFonts w:ascii="Times New Roman" w:hAnsi="Times New Roman" w:cs="Times New Roman"/>
          <w:b/>
          <w:noProof/>
          <w:color w:val="943634" w:themeColor="accent2" w:themeShade="BF"/>
          <w:sz w:val="24"/>
          <w:szCs w:val="24"/>
          <w:lang w:eastAsia="tr-TR"/>
        </w:rPr>
        <w:drawing>
          <wp:inline distT="0" distB="0" distL="0" distR="0">
            <wp:extent cx="5760720" cy="2576525"/>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760720" cy="2576525"/>
                    </a:xfrm>
                    <a:prstGeom prst="rect">
                      <a:avLst/>
                    </a:prstGeom>
                    <a:noFill/>
                    <a:ln w="9525">
                      <a:noFill/>
                      <a:miter lim="800000"/>
                      <a:headEnd/>
                      <a:tailEnd/>
                    </a:ln>
                  </pic:spPr>
                </pic:pic>
              </a:graphicData>
            </a:graphic>
          </wp:inline>
        </w:drawing>
      </w:r>
    </w:p>
    <w:sectPr w:rsidR="00867063" w:rsidRPr="00867063" w:rsidSect="007D7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7063"/>
    <w:rsid w:val="007D7698"/>
    <w:rsid w:val="008670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98"/>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70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0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dc:creator>
  <cp:keywords/>
  <dc:description/>
  <cp:lastModifiedBy>frisb</cp:lastModifiedBy>
  <cp:revision>2</cp:revision>
  <dcterms:created xsi:type="dcterms:W3CDTF">2020-03-23T13:54:00Z</dcterms:created>
  <dcterms:modified xsi:type="dcterms:W3CDTF">2020-03-23T14:05:00Z</dcterms:modified>
</cp:coreProperties>
</file>