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A6" w:rsidRPr="00B352A6" w:rsidRDefault="00E32309" w:rsidP="00EB324F">
      <w:pPr>
        <w:rPr>
          <w:rFonts w:ascii="Arial" w:hAnsi="Arial" w:cs="Arial"/>
          <w:sz w:val="24"/>
          <w:szCs w:val="24"/>
        </w:rPr>
      </w:pPr>
      <w:r w:rsidRPr="00B352A6">
        <w:rPr>
          <w:rFonts w:ascii="Arial" w:hAnsi="Arial" w:cs="Arial"/>
          <w:sz w:val="24"/>
          <w:szCs w:val="24"/>
        </w:rPr>
        <w:t xml:space="preserve"> </w:t>
      </w:r>
    </w:p>
    <w:p w:rsidR="00AF4F1E" w:rsidRDefault="00AF4F1E" w:rsidP="00AF4F1E"/>
    <w:p w:rsidR="00AF4F1E" w:rsidRDefault="00AF4F1E" w:rsidP="00AF4F1E"/>
    <w:p w:rsidR="00AF4F1E" w:rsidRDefault="00AF4F1E" w:rsidP="002B1E63"/>
    <w:tbl>
      <w:tblPr>
        <w:tblW w:w="0" w:type="auto"/>
        <w:jc w:val="center"/>
        <w:tblCellMar>
          <w:left w:w="0" w:type="dxa"/>
          <w:right w:w="0" w:type="dxa"/>
        </w:tblCellMar>
        <w:tblLook w:val="04A0"/>
      </w:tblPr>
      <w:tblGrid>
        <w:gridCol w:w="9104"/>
      </w:tblGrid>
      <w:tr w:rsidR="00AF4F1E" w:rsidTr="00AF4F1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AF4F1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F4F1E" w:rsidRDefault="00AF4F1E">
                  <w:pPr>
                    <w:spacing w:line="240" w:lineRule="atLeast"/>
                    <w:rPr>
                      <w:rFonts w:ascii="Times New Roman" w:hAnsi="Times New Roman" w:cs="Times New Roman"/>
                    </w:rPr>
                  </w:pPr>
                  <w:r>
                    <w:rPr>
                      <w:rFonts w:ascii="Arial" w:hAnsi="Arial" w:cs="Arial"/>
                      <w:sz w:val="16"/>
                      <w:szCs w:val="16"/>
                    </w:rPr>
                    <w:t>26 Haziran 2020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F4F1E" w:rsidRDefault="00AF4F1E">
                  <w:pPr>
                    <w:spacing w:line="240" w:lineRule="atLeast"/>
                    <w:jc w:val="center"/>
                  </w:pPr>
                  <w:r>
                    <w:rPr>
                      <w:rFonts w:ascii="Palatino Linotype" w:hAnsi="Palatino Linotype"/>
                      <w:b/>
                      <w:bCs/>
                      <w:color w:val="80000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F4F1E" w:rsidRDefault="00AF4F1E">
                  <w:pPr>
                    <w:pStyle w:val="NormalWeb"/>
                    <w:jc w:val="right"/>
                  </w:pPr>
                  <w:proofErr w:type="gramStart"/>
                  <w:r>
                    <w:rPr>
                      <w:rFonts w:ascii="Arial" w:hAnsi="Arial" w:cs="Arial"/>
                      <w:sz w:val="16"/>
                      <w:szCs w:val="16"/>
                    </w:rPr>
                    <w:t>Sayı : 31167</w:t>
                  </w:r>
                  <w:proofErr w:type="gramEnd"/>
                </w:p>
              </w:tc>
            </w:tr>
            <w:tr w:rsidR="00AF4F1E">
              <w:trPr>
                <w:trHeight w:val="480"/>
                <w:jc w:val="center"/>
              </w:trPr>
              <w:tc>
                <w:tcPr>
                  <w:tcW w:w="8789" w:type="dxa"/>
                  <w:gridSpan w:val="3"/>
                  <w:tcMar>
                    <w:top w:w="0" w:type="dxa"/>
                    <w:left w:w="108" w:type="dxa"/>
                    <w:bottom w:w="0" w:type="dxa"/>
                    <w:right w:w="108" w:type="dxa"/>
                  </w:tcMar>
                  <w:vAlign w:val="center"/>
                  <w:hideMark/>
                </w:tcPr>
                <w:p w:rsidR="00AF4F1E" w:rsidRDefault="00AF4F1E">
                  <w:pPr>
                    <w:pStyle w:val="NormalWeb"/>
                    <w:jc w:val="center"/>
                  </w:pPr>
                  <w:r>
                    <w:rPr>
                      <w:rFonts w:ascii="Arial" w:hAnsi="Arial" w:cs="Arial"/>
                      <w:b/>
                      <w:bCs/>
                      <w:color w:val="000080"/>
                      <w:sz w:val="18"/>
                      <w:szCs w:val="18"/>
                    </w:rPr>
                    <w:t>TEBLİĞ</w:t>
                  </w:r>
                </w:p>
              </w:tc>
            </w:tr>
            <w:tr w:rsidR="00AF4F1E">
              <w:trPr>
                <w:trHeight w:val="480"/>
                <w:jc w:val="center"/>
              </w:trPr>
              <w:tc>
                <w:tcPr>
                  <w:tcW w:w="8789" w:type="dxa"/>
                  <w:gridSpan w:val="3"/>
                  <w:tcMar>
                    <w:top w:w="0" w:type="dxa"/>
                    <w:left w:w="108" w:type="dxa"/>
                    <w:bottom w:w="0" w:type="dxa"/>
                    <w:right w:w="108" w:type="dxa"/>
                  </w:tcMar>
                  <w:vAlign w:val="center"/>
                  <w:hideMark/>
                </w:tcPr>
                <w:p w:rsidR="00AF4F1E" w:rsidRDefault="00AF4F1E">
                  <w:pPr>
                    <w:pStyle w:val="balk11pt"/>
                    <w:spacing w:before="0" w:beforeAutospacing="0" w:after="0" w:afterAutospacing="0" w:line="240" w:lineRule="atLeast"/>
                    <w:ind w:firstLine="566"/>
                    <w:jc w:val="both"/>
                    <w:rPr>
                      <w:sz w:val="22"/>
                      <w:szCs w:val="22"/>
                      <w:u w:val="single"/>
                    </w:rPr>
                  </w:pPr>
                  <w:r>
                    <w:rPr>
                      <w:sz w:val="18"/>
                      <w:szCs w:val="18"/>
                      <w:u w:val="single"/>
                    </w:rPr>
                    <w:t>Ticaret Bakanlığından:</w:t>
                  </w:r>
                </w:p>
                <w:p w:rsidR="00AF4F1E" w:rsidRDefault="00AF4F1E">
                  <w:pPr>
                    <w:pStyle w:val="ortabalkbold"/>
                    <w:spacing w:before="56" w:beforeAutospacing="0" w:after="0" w:afterAutospacing="0" w:line="240" w:lineRule="atLeast"/>
                    <w:jc w:val="center"/>
                    <w:rPr>
                      <w:b/>
                      <w:bCs/>
                      <w:sz w:val="19"/>
                      <w:szCs w:val="19"/>
                    </w:rPr>
                  </w:pPr>
                  <w:r>
                    <w:rPr>
                      <w:b/>
                      <w:bCs/>
                      <w:sz w:val="18"/>
                      <w:szCs w:val="18"/>
                    </w:rPr>
                    <w:t>İTHALATTA HAKSIZ REKABETİN ÖNLENMESİNE İLİŞKİN TEBLİĞ</w:t>
                  </w:r>
                </w:p>
                <w:p w:rsidR="00AF4F1E" w:rsidRDefault="00AF4F1E">
                  <w:pPr>
                    <w:pStyle w:val="ortabalkbold"/>
                    <w:spacing w:before="0" w:beforeAutospacing="0" w:after="170" w:afterAutospacing="0" w:line="240" w:lineRule="atLeast"/>
                    <w:jc w:val="center"/>
                    <w:rPr>
                      <w:b/>
                      <w:bCs/>
                      <w:sz w:val="19"/>
                      <w:szCs w:val="19"/>
                    </w:rPr>
                  </w:pPr>
                  <w:r>
                    <w:rPr>
                      <w:b/>
                      <w:bCs/>
                      <w:sz w:val="18"/>
                      <w:szCs w:val="18"/>
                    </w:rPr>
                    <w:t>(TEBLİĞ NO: 2020/14)</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Amaç ve kapsam</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MADDE 1 –</w:t>
                  </w:r>
                  <w:r>
                    <w:rPr>
                      <w:sz w:val="18"/>
                      <w:szCs w:val="18"/>
                    </w:rPr>
                    <w:t xml:space="preserve"> (1) Bu Tebliğin amacı; İspanya Krallığı, İtalyan Cumhuriyeti ve Almanya Federal Cumhuriyeti menşeli/çıkışlı 54.07 gümrük tarife pozisyonu altında yer alan muhtelif gümrük tarife istatistik pozisyonlarında tanımlı “sentetik </w:t>
                  </w:r>
                  <w:proofErr w:type="spellStart"/>
                  <w:r>
                    <w:rPr>
                      <w:sz w:val="18"/>
                      <w:szCs w:val="18"/>
                    </w:rPr>
                    <w:t>filament</w:t>
                  </w:r>
                  <w:proofErr w:type="spellEnd"/>
                  <w:r>
                    <w:rPr>
                      <w:sz w:val="18"/>
                      <w:szCs w:val="18"/>
                    </w:rPr>
                    <w:t xml:space="preserve"> iplikten dokunmuş mensucat (giyim için olanlar)” ile 55.13, 55.14, 55.15 ve 55.16 gümrük tarife pozisyonlarında tanımlı “sentetik veya suni devamsız liflerden dokunmuş mensucat” ithalatında </w:t>
                  </w:r>
                  <w:proofErr w:type="spellStart"/>
                  <w:r>
                    <w:rPr>
                      <w:sz w:val="18"/>
                      <w:szCs w:val="18"/>
                    </w:rPr>
                    <w:t>re’sen</w:t>
                  </w:r>
                  <w:proofErr w:type="spellEnd"/>
                  <w:r>
                    <w:rPr>
                      <w:sz w:val="18"/>
                      <w:szCs w:val="18"/>
                    </w:rPr>
                    <w:t xml:space="preserve"> yapılan incelemeler sonucunda önlemlerin etkisiz kılınmasına karşı soruşturma açılması ve açılan soruşturmanın usul ve esaslarının belirlenmesidir.</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Dayanak</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MADDE 2 –</w:t>
                  </w:r>
                  <w:r>
                    <w:rPr>
                      <w:sz w:val="18"/>
                      <w:szCs w:val="18"/>
                    </w:rPr>
                    <w:t> (1) Bu Tebliğ,  </w:t>
                  </w:r>
                  <w:proofErr w:type="gramStart"/>
                  <w:r>
                    <w:rPr>
                      <w:sz w:val="18"/>
                      <w:szCs w:val="18"/>
                    </w:rPr>
                    <w:t>14/6/1989</w:t>
                  </w:r>
                  <w:proofErr w:type="gramEnd"/>
                  <w:r>
                    <w:rPr>
                      <w:sz w:val="18"/>
                      <w:szCs w:val="18"/>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Yönetmeliğe dayanılarak hazırlanmıştır.</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Tanımlar</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MADDE 3 –</w:t>
                  </w:r>
                  <w:r>
                    <w:rPr>
                      <w:sz w:val="18"/>
                      <w:szCs w:val="18"/>
                    </w:rPr>
                    <w:t> (1) Bu Tebliğde geçen;</w:t>
                  </w:r>
                </w:p>
                <w:p w:rsidR="00AF4F1E" w:rsidRDefault="00AF4F1E">
                  <w:pPr>
                    <w:pStyle w:val="metin"/>
                    <w:spacing w:before="0" w:beforeAutospacing="0" w:after="0" w:afterAutospacing="0" w:line="240" w:lineRule="atLeast"/>
                    <w:ind w:firstLine="566"/>
                    <w:jc w:val="both"/>
                    <w:rPr>
                      <w:sz w:val="19"/>
                      <w:szCs w:val="19"/>
                    </w:rPr>
                  </w:pPr>
                  <w:r>
                    <w:rPr>
                      <w:sz w:val="18"/>
                      <w:szCs w:val="18"/>
                    </w:rPr>
                    <w:t>a) Almanya: Almanya Federal Cumhuriyetini,</w:t>
                  </w:r>
                </w:p>
                <w:p w:rsidR="00AF4F1E" w:rsidRDefault="00AF4F1E">
                  <w:pPr>
                    <w:pStyle w:val="metin"/>
                    <w:spacing w:before="0" w:beforeAutospacing="0" w:after="0" w:afterAutospacing="0" w:line="240" w:lineRule="atLeast"/>
                    <w:ind w:firstLine="566"/>
                    <w:jc w:val="both"/>
                    <w:rPr>
                      <w:sz w:val="19"/>
                      <w:szCs w:val="19"/>
                    </w:rPr>
                  </w:pPr>
                  <w:r>
                    <w:rPr>
                      <w:sz w:val="18"/>
                      <w:szCs w:val="18"/>
                    </w:rPr>
                    <w:t>b) Bakanlık: Ticaret Bakanlığını,</w:t>
                  </w:r>
                </w:p>
                <w:p w:rsidR="00AF4F1E" w:rsidRDefault="00AF4F1E">
                  <w:pPr>
                    <w:pStyle w:val="metin"/>
                    <w:spacing w:before="0" w:beforeAutospacing="0" w:after="0" w:afterAutospacing="0" w:line="240" w:lineRule="atLeast"/>
                    <w:ind w:firstLine="566"/>
                    <w:jc w:val="both"/>
                    <w:rPr>
                      <w:sz w:val="19"/>
                      <w:szCs w:val="19"/>
                    </w:rPr>
                  </w:pPr>
                  <w:r>
                    <w:rPr>
                      <w:sz w:val="18"/>
                      <w:szCs w:val="18"/>
                    </w:rPr>
                    <w:t>c) ÇHC: Çin Halk Cumhuriyetini,</w:t>
                  </w:r>
                </w:p>
                <w:p w:rsidR="00AF4F1E" w:rsidRDefault="00AF4F1E">
                  <w:pPr>
                    <w:pStyle w:val="metin"/>
                    <w:spacing w:before="0" w:beforeAutospacing="0" w:after="0" w:afterAutospacing="0" w:line="240" w:lineRule="atLeast"/>
                    <w:ind w:firstLine="566"/>
                    <w:jc w:val="both"/>
                    <w:rPr>
                      <w:sz w:val="19"/>
                      <w:szCs w:val="19"/>
                    </w:rPr>
                  </w:pPr>
                  <w:r>
                    <w:rPr>
                      <w:sz w:val="18"/>
                      <w:szCs w:val="18"/>
                    </w:rPr>
                    <w:t>ç) Genel Müdürlük: İthalat Genel Müdürlüğünü,</w:t>
                  </w:r>
                </w:p>
                <w:p w:rsidR="00AF4F1E" w:rsidRDefault="00AF4F1E">
                  <w:pPr>
                    <w:pStyle w:val="metin"/>
                    <w:spacing w:before="0" w:beforeAutospacing="0" w:after="0" w:afterAutospacing="0" w:line="240" w:lineRule="atLeast"/>
                    <w:ind w:firstLine="566"/>
                    <w:jc w:val="both"/>
                    <w:rPr>
                      <w:sz w:val="19"/>
                      <w:szCs w:val="19"/>
                    </w:rPr>
                  </w:pPr>
                  <w:r>
                    <w:rPr>
                      <w:sz w:val="18"/>
                      <w:szCs w:val="18"/>
                    </w:rPr>
                    <w:t>d) GTP: Gümrük tarife pozisyonunu,</w:t>
                  </w:r>
                </w:p>
                <w:p w:rsidR="00AF4F1E" w:rsidRDefault="00AF4F1E">
                  <w:pPr>
                    <w:pStyle w:val="metin"/>
                    <w:spacing w:before="0" w:beforeAutospacing="0" w:after="0" w:afterAutospacing="0" w:line="240" w:lineRule="atLeast"/>
                    <w:ind w:firstLine="566"/>
                    <w:jc w:val="both"/>
                    <w:rPr>
                      <w:sz w:val="19"/>
                      <w:szCs w:val="19"/>
                    </w:rPr>
                  </w:pPr>
                  <w:r>
                    <w:rPr>
                      <w:sz w:val="18"/>
                      <w:szCs w:val="18"/>
                    </w:rPr>
                    <w:t>e) İspanya: İspanya Krallığını,</w:t>
                  </w:r>
                </w:p>
                <w:p w:rsidR="00AF4F1E" w:rsidRDefault="00AF4F1E">
                  <w:pPr>
                    <w:pStyle w:val="metin"/>
                    <w:spacing w:before="0" w:beforeAutospacing="0" w:after="0" w:afterAutospacing="0" w:line="240" w:lineRule="atLeast"/>
                    <w:ind w:firstLine="566"/>
                    <w:jc w:val="both"/>
                    <w:rPr>
                      <w:sz w:val="19"/>
                      <w:szCs w:val="19"/>
                    </w:rPr>
                  </w:pPr>
                  <w:r>
                    <w:rPr>
                      <w:sz w:val="18"/>
                      <w:szCs w:val="18"/>
                    </w:rPr>
                    <w:t>f) İtalya: İtalyan Cumhuriyetini,</w:t>
                  </w:r>
                </w:p>
                <w:p w:rsidR="00AF4F1E" w:rsidRDefault="00AF4F1E">
                  <w:pPr>
                    <w:pStyle w:val="metin"/>
                    <w:spacing w:before="0" w:beforeAutospacing="0" w:after="0" w:afterAutospacing="0" w:line="240" w:lineRule="atLeast"/>
                    <w:ind w:firstLine="566"/>
                    <w:jc w:val="both"/>
                    <w:rPr>
                      <w:sz w:val="19"/>
                      <w:szCs w:val="19"/>
                    </w:rPr>
                  </w:pPr>
                  <w:r>
                    <w:rPr>
                      <w:sz w:val="18"/>
                      <w:szCs w:val="18"/>
                    </w:rPr>
                    <w:t>g) Kanun:  </w:t>
                  </w:r>
                  <w:proofErr w:type="gramStart"/>
                  <w:r>
                    <w:rPr>
                      <w:sz w:val="18"/>
                      <w:szCs w:val="18"/>
                    </w:rPr>
                    <w:t>14/6/1989</w:t>
                  </w:r>
                  <w:proofErr w:type="gramEnd"/>
                  <w:r>
                    <w:rPr>
                      <w:sz w:val="18"/>
                      <w:szCs w:val="18"/>
                    </w:rPr>
                    <w:t xml:space="preserve"> tarihli ve 3577 sayılı İthalatta Haksız Rekabetin Önlenmesi Hakkında Kanunu,</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ğ) Karar: </w:t>
                  </w:r>
                  <w:proofErr w:type="gramStart"/>
                  <w:r>
                    <w:rPr>
                      <w:sz w:val="18"/>
                      <w:szCs w:val="18"/>
                    </w:rPr>
                    <w:t>20/10/1999</w:t>
                  </w:r>
                  <w:proofErr w:type="gramEnd"/>
                  <w:r>
                    <w:rPr>
                      <w:sz w:val="18"/>
                      <w:szCs w:val="18"/>
                    </w:rPr>
                    <w:t xml:space="preserve"> tarihli ve 99/13482 sayılı Bakanlar Kurulu Kararı ile yürürlüğe konulan İthalatta Haksız Rekabetin Önlenmesi Hakkında Kararı,</w:t>
                  </w:r>
                </w:p>
                <w:p w:rsidR="00AF4F1E" w:rsidRDefault="00AF4F1E">
                  <w:pPr>
                    <w:pStyle w:val="metin"/>
                    <w:spacing w:before="0" w:beforeAutospacing="0" w:after="0" w:afterAutospacing="0" w:line="240" w:lineRule="atLeast"/>
                    <w:ind w:firstLine="566"/>
                    <w:jc w:val="both"/>
                    <w:rPr>
                      <w:sz w:val="19"/>
                      <w:szCs w:val="19"/>
                    </w:rPr>
                  </w:pPr>
                  <w:r>
                    <w:rPr>
                      <w:sz w:val="18"/>
                      <w:szCs w:val="18"/>
                    </w:rPr>
                    <w:t>h) KEP: Kayıtlı elektronik posta adresini,</w:t>
                  </w:r>
                </w:p>
                <w:p w:rsidR="00AF4F1E" w:rsidRDefault="00AF4F1E">
                  <w:pPr>
                    <w:pStyle w:val="metin"/>
                    <w:spacing w:before="0" w:beforeAutospacing="0" w:after="0" w:afterAutospacing="0" w:line="240" w:lineRule="atLeast"/>
                    <w:ind w:firstLine="566"/>
                    <w:jc w:val="both"/>
                    <w:rPr>
                      <w:sz w:val="19"/>
                      <w:szCs w:val="19"/>
                    </w:rPr>
                  </w:pPr>
                  <w:r>
                    <w:rPr>
                      <w:sz w:val="18"/>
                      <w:szCs w:val="18"/>
                    </w:rPr>
                    <w:t>ı) TGTC: İstatistik Pozisyonlarına Bölünmüş Türk Gümrük Tarife Cetvelini,</w:t>
                  </w:r>
                </w:p>
                <w:p w:rsidR="00AF4F1E" w:rsidRDefault="00AF4F1E">
                  <w:pPr>
                    <w:pStyle w:val="metin"/>
                    <w:spacing w:before="0" w:beforeAutospacing="0" w:after="0" w:afterAutospacing="0" w:line="240" w:lineRule="atLeast"/>
                    <w:ind w:firstLine="566"/>
                    <w:jc w:val="both"/>
                    <w:rPr>
                      <w:sz w:val="19"/>
                      <w:szCs w:val="19"/>
                    </w:rPr>
                  </w:pPr>
                  <w:r>
                    <w:rPr>
                      <w:sz w:val="18"/>
                      <w:szCs w:val="18"/>
                    </w:rPr>
                    <w:t>i) Yönetmelik: 30/10/1999 tarihli ve 23861 sayılı Resmî Gazete’de yayımlanan İthalatta Haksız Rekabetin Önlenmesi Hakkında Yönetmeliği,</w:t>
                  </w:r>
                </w:p>
                <w:p w:rsidR="00AF4F1E" w:rsidRDefault="00AF4F1E">
                  <w:pPr>
                    <w:pStyle w:val="metin"/>
                    <w:spacing w:before="0" w:beforeAutospacing="0" w:after="0" w:afterAutospacing="0" w:line="240" w:lineRule="atLeast"/>
                    <w:ind w:firstLine="566"/>
                    <w:jc w:val="both"/>
                    <w:rPr>
                      <w:sz w:val="19"/>
                      <w:szCs w:val="19"/>
                    </w:rPr>
                  </w:pPr>
                  <w:proofErr w:type="gramStart"/>
                  <w:r>
                    <w:rPr>
                      <w:sz w:val="18"/>
                      <w:szCs w:val="18"/>
                    </w:rPr>
                    <w:t>ifade</w:t>
                  </w:r>
                  <w:proofErr w:type="gramEnd"/>
                  <w:r>
                    <w:rPr>
                      <w:sz w:val="18"/>
                      <w:szCs w:val="18"/>
                    </w:rPr>
                    <w:t xml:space="preserve"> eder.</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Soruşturma konusu eşya</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MADDE 4 – </w:t>
                  </w:r>
                  <w:r>
                    <w:rPr>
                      <w:sz w:val="18"/>
                      <w:szCs w:val="18"/>
                    </w:rPr>
                    <w:t xml:space="preserve">(1) Soruşturma konusu eşya, 21/1/2015 tarihli ve 29243 sayılı Resmî Gazete’de yayımlanan İthalatta Haksız Rekabetin Önlenmesine İlişkin Tebliğ (Tebliğ No: 2015/3) uyarınca dampinge karşı önleme tabi olan 54.07 </w:t>
                  </w:r>
                  <w:proofErr w:type="spellStart"/>
                  <w:r>
                    <w:rPr>
                      <w:sz w:val="18"/>
                      <w:szCs w:val="18"/>
                    </w:rPr>
                    <w:t>GTP’si</w:t>
                  </w:r>
                  <w:proofErr w:type="spellEnd"/>
                  <w:r>
                    <w:rPr>
                      <w:sz w:val="18"/>
                      <w:szCs w:val="18"/>
                    </w:rPr>
                    <w:t xml:space="preserve"> altında muhtelif gümrük tarife istatistik pozisyonlarında sınıflandırılan “sentetik </w:t>
                  </w:r>
                  <w:proofErr w:type="spellStart"/>
                  <w:r>
                    <w:rPr>
                      <w:sz w:val="18"/>
                      <w:szCs w:val="18"/>
                    </w:rPr>
                    <w:t>filament</w:t>
                  </w:r>
                  <w:proofErr w:type="spellEnd"/>
                  <w:r>
                    <w:rPr>
                      <w:sz w:val="18"/>
                      <w:szCs w:val="18"/>
                    </w:rPr>
                    <w:t xml:space="preserve"> iplikten dokunmuş mensucat (giyim için olanlar)” (Ek 1) ve 31/12/2018 tarihli ve 30642 dördüncü mükerrer sayılı Resmî Gazete’de yayımlanan İthalatta Haksız Rekabetin Önlenmesine İlişkin Tebliğ (Tebliğ No: 2019/4) uyarınca dampinge karşı önleme tabi olan 55.13, 55.14, 55.15, 55.16 </w:t>
                  </w:r>
                  <w:proofErr w:type="spellStart"/>
                  <w:r>
                    <w:rPr>
                      <w:sz w:val="18"/>
                      <w:szCs w:val="18"/>
                    </w:rPr>
                    <w:t>GTP’leri</w:t>
                  </w:r>
                  <w:proofErr w:type="spellEnd"/>
                  <w:r>
                    <w:rPr>
                      <w:sz w:val="18"/>
                      <w:szCs w:val="18"/>
                    </w:rPr>
                    <w:t xml:space="preserve"> altında yer alan “sentetik veya suni devamsız liflerden dokunmuş </w:t>
                  </w:r>
                  <w:proofErr w:type="spellStart"/>
                  <w:r>
                    <w:rPr>
                      <w:sz w:val="18"/>
                      <w:szCs w:val="18"/>
                    </w:rPr>
                    <w:t>mensucat”dır</w:t>
                  </w:r>
                  <w:proofErr w:type="spellEnd"/>
                  <w:r>
                    <w:rPr>
                      <w:sz w:val="18"/>
                      <w:szCs w:val="18"/>
                    </w:rPr>
                    <w:t>.</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(2) Önleme tabi ürünün </w:t>
                  </w:r>
                  <w:proofErr w:type="spellStart"/>
                  <w:r>
                    <w:rPr>
                      <w:sz w:val="18"/>
                      <w:szCs w:val="18"/>
                    </w:rPr>
                    <w:t>TGTC’de</w:t>
                  </w:r>
                  <w:proofErr w:type="spellEnd"/>
                  <w:r>
                    <w:rPr>
                      <w:sz w:val="18"/>
                      <w:szCs w:val="18"/>
                    </w:rPr>
                    <w:t xml:space="preserve"> yer alan tarife pozisyonunda ve/veya eşya tanımında yapılacak değişiklikler bu Tebliğ hükümlerinin uygulanmasına engel teşkil etmez.</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Başvuru ve mevcut durum</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MADDE 5 –</w:t>
                  </w:r>
                  <w:r>
                    <w:rPr>
                      <w:sz w:val="18"/>
                      <w:szCs w:val="18"/>
                    </w:rPr>
                    <w:t xml:space="preserve"> (1) </w:t>
                  </w:r>
                  <w:proofErr w:type="gramStart"/>
                  <w:r>
                    <w:rPr>
                      <w:sz w:val="18"/>
                      <w:szCs w:val="18"/>
                    </w:rPr>
                    <w:t>13/2/2002</w:t>
                  </w:r>
                  <w:proofErr w:type="gramEnd"/>
                  <w:r>
                    <w:rPr>
                      <w:sz w:val="18"/>
                      <w:szCs w:val="18"/>
                    </w:rPr>
                    <w:t xml:space="preserve"> tarihli ve 24670 sayılı Resmî Gazete’de yayımlanan İthalatta Haksız Rekabetin Önlenmesine İlişkin Tebliğ (Tebliğ No: 2002/2) ile ÇHC, Kore Cumhuriyeti (Güney Kore), Malezya, Tayland Krallığı, Çin </w:t>
                  </w:r>
                  <w:proofErr w:type="spellStart"/>
                  <w:r>
                    <w:rPr>
                      <w:sz w:val="18"/>
                      <w:szCs w:val="18"/>
                    </w:rPr>
                    <w:t>Tayvanı</w:t>
                  </w:r>
                  <w:proofErr w:type="spellEnd"/>
                  <w:r>
                    <w:rPr>
                      <w:sz w:val="18"/>
                      <w:szCs w:val="18"/>
                    </w:rPr>
                    <w:t xml:space="preserve"> menşeli 54.07 GTP altında yer alan “sentetik </w:t>
                  </w:r>
                  <w:proofErr w:type="spellStart"/>
                  <w:r>
                    <w:rPr>
                      <w:sz w:val="18"/>
                      <w:szCs w:val="18"/>
                    </w:rPr>
                    <w:t>filament</w:t>
                  </w:r>
                  <w:proofErr w:type="spellEnd"/>
                  <w:r>
                    <w:rPr>
                      <w:sz w:val="18"/>
                      <w:szCs w:val="18"/>
                    </w:rPr>
                    <w:t xml:space="preserve"> iplikten dokunmuş mensucat (giyim için olanlar)”</w:t>
                  </w:r>
                  <w:proofErr w:type="spellStart"/>
                  <w:r>
                    <w:rPr>
                      <w:sz w:val="18"/>
                      <w:szCs w:val="18"/>
                    </w:rPr>
                    <w:t>ın</w:t>
                  </w:r>
                  <w:proofErr w:type="spellEnd"/>
                  <w:r>
                    <w:rPr>
                      <w:sz w:val="18"/>
                      <w:szCs w:val="18"/>
                    </w:rPr>
                    <w:t xml:space="preserve"> ithalatında ülke ve firma bazında değişen oranlarda dampinge karşı önlem yürürlüğe konulmuştur. Öte yandan, söz konusu önleme ilişkin son nihai gözden geçirme soruşturmasının tamamlanmasını takiben İthalatta Haksız Rekabetin Önlenmesine İlişkin Tebliğ (Tebliğ No: 2015/3) ile </w:t>
                  </w:r>
                  <w:proofErr w:type="gramStart"/>
                  <w:r>
                    <w:rPr>
                      <w:sz w:val="18"/>
                      <w:szCs w:val="18"/>
                    </w:rPr>
                    <w:t>mezkur</w:t>
                  </w:r>
                  <w:proofErr w:type="gramEnd"/>
                  <w:r>
                    <w:rPr>
                      <w:sz w:val="18"/>
                      <w:szCs w:val="18"/>
                    </w:rPr>
                    <w:t xml:space="preserve"> ürünlerin ithalatında uygulanan önlemlerin devamına karar verilmiştir.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(2) 18/11/2006 tarihli ve 26350 sayılı Resmî Gazete'de yayımlanan İthalatta Haksız Rekabetin Önlenmesine İlişkin Tebliğ (Tebliğ No:2006/30) ile ÇHC menşeli 54.07 </w:t>
                  </w:r>
                  <w:proofErr w:type="spellStart"/>
                  <w:r>
                    <w:rPr>
                      <w:sz w:val="18"/>
                      <w:szCs w:val="18"/>
                    </w:rPr>
                    <w:t>GTP’si</w:t>
                  </w:r>
                  <w:proofErr w:type="spellEnd"/>
                  <w:r>
                    <w:rPr>
                      <w:sz w:val="18"/>
                      <w:szCs w:val="18"/>
                    </w:rPr>
                    <w:t xml:space="preserve"> altında yer alan eşya için uygulanan dampinge karşı önlem Filipinler Cumhuriyeti menşeli/çıkışlı ürünlere teşmil edilmiştir.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(3) 22/8/2015 tarihli ve 29453 sayılı Resmî Gazete’de yayımlanan İthalatta Haksız Rekabetin Önlenmesine İlişkin Tebliğ (Tebliğ No:2015/41) çerçevesinde, ÇHC menşeli 54.07 </w:t>
                  </w:r>
                  <w:proofErr w:type="spellStart"/>
                  <w:r>
                    <w:rPr>
                      <w:sz w:val="18"/>
                      <w:szCs w:val="18"/>
                    </w:rPr>
                    <w:t>GTP’si</w:t>
                  </w:r>
                  <w:proofErr w:type="spellEnd"/>
                  <w:r>
                    <w:rPr>
                      <w:sz w:val="18"/>
                      <w:szCs w:val="18"/>
                    </w:rPr>
                    <w:t xml:space="preserve"> altında yer alan eşya için uygulanan dampinge karşı önlem Bulgaristan Cumhuriyeti menşeli/çıkışlı ürünlere teşmil edilmiştir.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(4) 7/5/2019 tarihli ve 30767 sayılı Resmî Gazete’de yayımlanan İthalatta Haksız Rekabetin Önlenmesine İlişkin Tebliğ (Tebliğ No:2019/15) çerçevesinde, ÇHC menşeli 54.07 </w:t>
                  </w:r>
                  <w:proofErr w:type="spellStart"/>
                  <w:r>
                    <w:rPr>
                      <w:sz w:val="18"/>
                      <w:szCs w:val="18"/>
                    </w:rPr>
                    <w:t>GTP’si</w:t>
                  </w:r>
                  <w:proofErr w:type="spellEnd"/>
                  <w:r>
                    <w:rPr>
                      <w:sz w:val="18"/>
                      <w:szCs w:val="18"/>
                    </w:rPr>
                    <w:t xml:space="preserve"> altında yer alan eşya için uygulanan dampinge karşı önlem Yunanistan menşeli/çıkışlı ürünlere teşmil edilmiştir.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(5) Diğer taraftan, ÇHC menşeli 55.13, 55.14, 55.15 ve 55.16  </w:t>
                  </w:r>
                  <w:proofErr w:type="spellStart"/>
                  <w:r>
                    <w:rPr>
                      <w:sz w:val="18"/>
                      <w:szCs w:val="18"/>
                    </w:rPr>
                    <w:t>GTP’leri</w:t>
                  </w:r>
                  <w:proofErr w:type="spellEnd"/>
                  <w:r>
                    <w:rPr>
                      <w:sz w:val="18"/>
                      <w:szCs w:val="18"/>
                    </w:rPr>
                    <w:t xml:space="preserve"> altında yer alan “sentetik veya suni devamsız liflerden dokunmuş mensucat”ın ithalinde, </w:t>
                  </w:r>
                  <w:proofErr w:type="gramStart"/>
                  <w:r>
                    <w:rPr>
                      <w:sz w:val="18"/>
                      <w:szCs w:val="18"/>
                    </w:rPr>
                    <w:t>15/2/2001</w:t>
                  </w:r>
                  <w:proofErr w:type="gramEnd"/>
                  <w:r>
                    <w:rPr>
                      <w:sz w:val="18"/>
                      <w:szCs w:val="18"/>
                    </w:rPr>
                    <w:t xml:space="preserve"> tarihli ve 24319 sayılı Resmî Gazete’de yayımlanan </w:t>
                  </w:r>
                  <w:r>
                    <w:rPr>
                      <w:sz w:val="18"/>
                      <w:szCs w:val="18"/>
                    </w:rPr>
                    <w:lastRenderedPageBreak/>
                    <w:t>İthalatta Haksız Rekabetin Önlenmesine İlişkin Tebliğ (Tebliğ No: 2001/2) kapsamında dampinge karşı önlem yürürlüğe konulmuştur. İthalatta Haksız Rekabetin Önlenmesine İlişkin Tebliğ (Tebliğ No: 2019/4) ile tamamlanan nihai gözden geçirme soruşturması kapsamında anılan önlemin devamına karar verilmiştir.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(6) 22/8/2015 tarihli ve 29453 sayılı Resmî Gazete’de yayımlanan İthalatta Haksız Rekabetin Önlenmesine İlişkin Tebliğ (Tebliğ No:2015/40) çerçevesinde, ÇHC menşeli 55.13, 55.14, 55.15 ve 55.16 </w:t>
                  </w:r>
                  <w:proofErr w:type="spellStart"/>
                  <w:r>
                    <w:rPr>
                      <w:sz w:val="18"/>
                      <w:szCs w:val="18"/>
                    </w:rPr>
                    <w:t>GTP’leri</w:t>
                  </w:r>
                  <w:proofErr w:type="spellEnd"/>
                  <w:r>
                    <w:rPr>
                      <w:sz w:val="18"/>
                      <w:szCs w:val="18"/>
                    </w:rPr>
                    <w:t xml:space="preserve"> altında yer alan eşya için uygulanan dampinge karşı önlem Bulgaristan Cumhuriyeti ve Polonya Cumhuriyeti menşeli/çıkışlı ürünlere teşmil edilmiştir.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(7) İthalatta Haksız Rekabetin Önlenmesine İlişkin Tebliğ (Tebliğ No:2019/15) ile ÇHC menşeli 55.13, 55.14, 55.15 ve 55.16 </w:t>
                  </w:r>
                  <w:proofErr w:type="spellStart"/>
                  <w:r>
                    <w:rPr>
                      <w:sz w:val="18"/>
                      <w:szCs w:val="18"/>
                    </w:rPr>
                    <w:t>GTP’leri</w:t>
                  </w:r>
                  <w:proofErr w:type="spellEnd"/>
                  <w:r>
                    <w:rPr>
                      <w:sz w:val="18"/>
                      <w:szCs w:val="18"/>
                    </w:rPr>
                    <w:t xml:space="preserve"> altında yer alan eşya için uygulanan dampinge karşı önlem Yunanistan menşeli/çıkışlı ürünlere teşmil edilmiştir.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(8) Önlem konusu ülkeler menşeli “sentetik </w:t>
                  </w:r>
                  <w:proofErr w:type="spellStart"/>
                  <w:r>
                    <w:rPr>
                      <w:sz w:val="18"/>
                      <w:szCs w:val="18"/>
                    </w:rPr>
                    <w:t>filament</w:t>
                  </w:r>
                  <w:proofErr w:type="spellEnd"/>
                  <w:r>
                    <w:rPr>
                      <w:sz w:val="18"/>
                      <w:szCs w:val="18"/>
                    </w:rPr>
                    <w:t xml:space="preserve"> iplikten dokunmuş mensucat (giyim için olanlar)” ve “sentetik veya suni devamsız liflerden dokunmuş mensucat” ithalatında uygulanan dampinge karşı önlemlerin İspanya, İtalya ve Almanya üzerinden yapılan ithalat ile etkisiz kılındığına yönelik </w:t>
                  </w:r>
                  <w:proofErr w:type="spellStart"/>
                  <w:r>
                    <w:rPr>
                      <w:sz w:val="18"/>
                      <w:szCs w:val="18"/>
                    </w:rPr>
                    <w:t>re’sen</w:t>
                  </w:r>
                  <w:proofErr w:type="spellEnd"/>
                  <w:r>
                    <w:rPr>
                      <w:sz w:val="18"/>
                      <w:szCs w:val="18"/>
                    </w:rPr>
                    <w:t xml:space="preserve"> yapılan değerlendirmeler üzerine Bakanlık tarafından bir inceleme başlatılmıştır.</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(9) </w:t>
                  </w:r>
                  <w:proofErr w:type="gramStart"/>
                  <w:r>
                    <w:rPr>
                      <w:sz w:val="18"/>
                      <w:szCs w:val="18"/>
                    </w:rPr>
                    <w:t>Mezkur</w:t>
                  </w:r>
                  <w:proofErr w:type="gramEnd"/>
                  <w:r>
                    <w:rPr>
                      <w:sz w:val="18"/>
                      <w:szCs w:val="18"/>
                    </w:rPr>
                    <w:t xml:space="preserve"> önlemlerin etkisiz kılındığına ilişkin bulgular Kanun, Karar ve Yönetmelik hükümleri çerçevesinde değerlendirilmiştir.</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Önlemlerin etkisiz kılınmasına ilişkin bulgular</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MADDE 6 –</w:t>
                  </w:r>
                  <w:r>
                    <w:rPr>
                      <w:sz w:val="18"/>
                      <w:szCs w:val="18"/>
                    </w:rPr>
                    <w:t> (1) Soruşturma konusu 54.07 GTP kapsamındaki eşya toplam ithalatının 2017 yılında 357 milyon ABD Doları-69 bin ton; 2018 yılında 332 milyon ABD Doları-58 bin ton; 2019 yılında 393 milyon ABD Doları-68 bin ton; 2020 yılının ilk 4 ayında ise 179 milyon ABD Doları-32 bin ton olarak gerçekleştiği görülmektedir.</w:t>
                  </w:r>
                </w:p>
                <w:p w:rsidR="00AF4F1E" w:rsidRDefault="00AF4F1E">
                  <w:pPr>
                    <w:pStyle w:val="metin"/>
                    <w:spacing w:before="0" w:beforeAutospacing="0" w:after="0" w:afterAutospacing="0" w:line="240" w:lineRule="atLeast"/>
                    <w:ind w:firstLine="566"/>
                    <w:jc w:val="both"/>
                    <w:rPr>
                      <w:sz w:val="19"/>
                      <w:szCs w:val="19"/>
                    </w:rPr>
                  </w:pPr>
                  <w:r>
                    <w:rPr>
                      <w:sz w:val="18"/>
                      <w:szCs w:val="18"/>
                    </w:rPr>
                    <w:t>(2) İtalya’dan 54.07 GTP kapsamı eşya ithalatı 2017 yılında 8,3 milyon ABD Doları-725 ton; 2018 yılında 11,6 milyon ABD Doları-1.465 ton; 2019 yılında 28,3 milyon ABD Doları- 3.692 ton; 2020 yılının ilk 4 ayında ise 28,6 milyon ABD Doları-5.188 ton olarak gerçekleşmiştir. Anılan eşyanın İtalya’dan gerçekleşen ithalatının toplam ithalata miktar bazında oranı 2017 yılında %1 iken söz konusu oran 2018 yılında %2,5’a, 2019 yılında %5,4’e, 2020 yılının ilk 4 ayında ise %16’ya yükselmiştir. Bu çerçevede, İtalya’dan 54.07 GTP kapsamı ithalatta hızlı bir artış bulunduğu görülmektedir.</w:t>
                  </w:r>
                </w:p>
                <w:p w:rsidR="00AF4F1E" w:rsidRDefault="00AF4F1E">
                  <w:pPr>
                    <w:pStyle w:val="metin"/>
                    <w:spacing w:before="0" w:beforeAutospacing="0" w:after="0" w:afterAutospacing="0" w:line="240" w:lineRule="atLeast"/>
                    <w:ind w:firstLine="566"/>
                    <w:jc w:val="both"/>
                    <w:rPr>
                      <w:sz w:val="19"/>
                      <w:szCs w:val="19"/>
                    </w:rPr>
                  </w:pPr>
                  <w:r>
                    <w:rPr>
                      <w:sz w:val="18"/>
                      <w:szCs w:val="18"/>
                    </w:rPr>
                    <w:t>(3) İtalya’dan söz konusu eşya ithalatında birim fiyatlar 2017 yılında 11,4 ABD Doları/Kg iken 2018 yılında 7,9 ABD Doları/Kg’a; 2019 yılında 7,7 ABD Doları/Kg’a; 2020 yılının ilk 4 ayında ise 5,5 ABD Doları/Kg’a gerilemiştir. </w:t>
                  </w:r>
                </w:p>
                <w:p w:rsidR="00AF4F1E" w:rsidRDefault="00AF4F1E">
                  <w:pPr>
                    <w:pStyle w:val="metin"/>
                    <w:spacing w:before="0" w:beforeAutospacing="0" w:after="0" w:afterAutospacing="0" w:line="240" w:lineRule="atLeast"/>
                    <w:ind w:firstLine="566"/>
                    <w:jc w:val="both"/>
                    <w:rPr>
                      <w:sz w:val="19"/>
                      <w:szCs w:val="19"/>
                    </w:rPr>
                  </w:pPr>
                  <w:r>
                    <w:rPr>
                      <w:sz w:val="18"/>
                      <w:szCs w:val="18"/>
                    </w:rPr>
                    <w:t>(4) İspanya’dan 54.07 GTP kapsamı eşya ithalatı 2017 yılında 5,2 milyon ABD Doları-518 ton; 2018 yılında 4,9 milyon ABD Doları-505 ton; 2019 yılında 13,3 milyon ABD Doları-1.754 ton; 2020 yılının ilk 4 ayında ise 10,7 milyon ABD Doları-1.863 ton olarak gerçekleşmiştir. Anılan eşyanın İspanya’dan gerçekleşen  ithalatının toplam ithalata miktar bazında oranı 2017 yılında %0,7 iken söz konusu oran 2018 yılında %0,9’a, 2019 yılında %2,6’ya, 2020 yılının ilk 4 ayında ise %5,7’ye yükselmiştir. Bu çerçevede, İspanya’dan 54.07 GTP kapsamı ithalatta 2019 yılından itibaren hızlı bir artış bulunduğu görülmektedir.</w:t>
                  </w:r>
                </w:p>
                <w:p w:rsidR="00AF4F1E" w:rsidRDefault="00AF4F1E">
                  <w:pPr>
                    <w:pStyle w:val="metin"/>
                    <w:spacing w:before="0" w:beforeAutospacing="0" w:after="0" w:afterAutospacing="0" w:line="240" w:lineRule="atLeast"/>
                    <w:ind w:firstLine="566"/>
                    <w:jc w:val="both"/>
                    <w:rPr>
                      <w:sz w:val="19"/>
                      <w:szCs w:val="19"/>
                    </w:rPr>
                  </w:pPr>
                  <w:r>
                    <w:rPr>
                      <w:sz w:val="18"/>
                      <w:szCs w:val="18"/>
                    </w:rPr>
                    <w:t>(5) İspanya’dan söz konusu eşya ithalatında birim fiyatlar 2017 yılında 10,1 ABD Doları/Kg iken 2018 yılında 9,8 ABD Doları/Kg’a, 2019 yılında 7,6 ABD Doları/Kg’a, 2020 yılının ilk 4 ayında ise 5,8 ABD Doları/Kg’a gerilemiştir.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(6) Almanya’dan 54.07 GTP kapsamı eşya ithalatı 2017 yılında 10,2 milyon ABD Doları-1.090 ton; 2018 yılında 8,8 milyon ABD Doları-963 ton; 2019 yılında 14,5 milyon ABD Doları-2.414 ton; 2020 yılının ilk 4 ayında ise 7,1 milyon ABD Doları-1.656 ton olarak gerçekleşmiştir. Anılan eşyanın Almanya’dan gerçekleşen ithalatının toplam ithalata miktar bazında oranı 2017 ve 2018 yıllarında %1,6 iken 2019 yılında %3,5’e, 2020 yılının ilk 4 ayında ise %5,1’e yükselmiştir. Bu çerçevede, Almanya’dan 54.07 GTP kapsamı ithalatta 2019 yılından itibaren hızlı bir artış bulunduğu görülmektedir.</w:t>
                  </w:r>
                </w:p>
                <w:p w:rsidR="00AF4F1E" w:rsidRDefault="00AF4F1E">
                  <w:pPr>
                    <w:pStyle w:val="metin"/>
                    <w:spacing w:before="0" w:beforeAutospacing="0" w:after="0" w:afterAutospacing="0" w:line="240" w:lineRule="atLeast"/>
                    <w:ind w:firstLine="566"/>
                    <w:jc w:val="both"/>
                    <w:rPr>
                      <w:sz w:val="19"/>
                      <w:szCs w:val="19"/>
                    </w:rPr>
                  </w:pPr>
                  <w:r>
                    <w:rPr>
                      <w:sz w:val="18"/>
                      <w:szCs w:val="18"/>
                    </w:rPr>
                    <w:t>(7) Almanya’dan gerçekleşen söz konusu eşya ithalatında birim fiyatlar 2017 yılında 9,3 ABD Doları/Kg iken 2018 yılında 9,1 ABD Doları/Kg’a, 2019 yılında 6 ABD Doları/Kg’a, 2020 yılının ilk 4 ayında ise 4,3 ABD Doları/Kg’a gerilemiştir.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(8) 55.13, 55.14, 55.15, 55.16 </w:t>
                  </w:r>
                  <w:proofErr w:type="spellStart"/>
                  <w:r>
                    <w:rPr>
                      <w:sz w:val="18"/>
                      <w:szCs w:val="18"/>
                    </w:rPr>
                    <w:t>GTP’lerinde</w:t>
                  </w:r>
                  <w:proofErr w:type="spellEnd"/>
                  <w:r>
                    <w:rPr>
                      <w:sz w:val="18"/>
                      <w:szCs w:val="18"/>
                    </w:rPr>
                    <w:t xml:space="preserve"> tanımlı eşyada toplam ithalat 2017 yılında 101 milyon ABD Doları-17,6 bin ton; 2018 yılında 74 milyon ABD Doları-12,1 bin ton; 2019 yılında 81 milyon ABD Doları-12,3 bin ton; 2020 yılının ilk 4 ayında ise 26,5 milyon ABD Doları-4,5 bin ton olarak gerçekleşmiştir.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(9) İtalya’dan anılan eşya ithalatı 2017 yılında 5,6 milyon ABD Doları-486 ton; 2018 yılında 7 milyon ABD Doları-494 ton; 2019 yılında 14,8 milyon ABD Doları-1.454 ton; 2020 yılının ilk 4 ayında ise 6,7 milyon ABD Doları-942 ton olarak gerçekleşmiştir. Söz konusu ithalatın toplam ithalata miktar bazında oranı 2017 yılında %2,8 iken bahse konu oran 2018 yılında %4,1’e, 2019 yılında %11,9’a, 2020 yılının ilk 4 ayında ise %21,2’ye yükselmiştir. Bu çerçevede, İtalya’dan anılan ithalatın 2019 yılından itibaren hızlı bir artış gösterdiği görülmektedir.</w:t>
                  </w:r>
                </w:p>
                <w:p w:rsidR="00AF4F1E" w:rsidRDefault="00AF4F1E">
                  <w:pPr>
                    <w:pStyle w:val="metin"/>
                    <w:spacing w:before="0" w:beforeAutospacing="0" w:after="0" w:afterAutospacing="0" w:line="240" w:lineRule="atLeast"/>
                    <w:ind w:firstLine="566"/>
                    <w:jc w:val="both"/>
                    <w:rPr>
                      <w:sz w:val="19"/>
                      <w:szCs w:val="19"/>
                    </w:rPr>
                  </w:pPr>
                  <w:r>
                    <w:rPr>
                      <w:sz w:val="18"/>
                      <w:szCs w:val="18"/>
                    </w:rPr>
                    <w:t>(10) Anılan ithalatta birim fiyat 2017 yılında 11,6 ABD Doları/Kg, 2018 yılında 14,2 ABD Doları/Kg iken 2019 yılında 10,2 ABD Doları/Kg’a, 2020 yılının ilk 4 ayında ise 7,1 ABD Doları/Kg’a gerilemiştir.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(11) İspanya’dan 55.13, 55.14, 55.15, 55.16 </w:t>
                  </w:r>
                  <w:proofErr w:type="spellStart"/>
                  <w:r>
                    <w:rPr>
                      <w:sz w:val="18"/>
                      <w:szCs w:val="18"/>
                    </w:rPr>
                    <w:t>GTP’lerinde</w:t>
                  </w:r>
                  <w:proofErr w:type="spellEnd"/>
                  <w:r>
                    <w:rPr>
                      <w:sz w:val="18"/>
                      <w:szCs w:val="18"/>
                    </w:rPr>
                    <w:t xml:space="preserve"> tanımlı eşya ithalatı 2017 yılında 12,5 milyon ABD Doları-1.325 ton; 2018 yılında 6,6 milyon ABD Doları-639 ton; 2019 yılında 8,6 milyon ABD Doları -837 ton; 2020 yılının ilk 4 ayında ise 6,1 milyon ABD Doları-966 ton olarak gerçekleşmiştir. Söz konusu ithalatın toplam ithalata miktar bazında oranı 2017 yılında %7,5 iken 2018 yılında %5,3’e gerilemiş, 2019 yılında %6,8’e, 2020 yılının ilk 4 ayında ise %21,7’ye yükselmiştir. Bu çerçevede, anılan ithalatın 2019 yılından itibaren hızlı bir artış gösterdiği görülmektedir.</w:t>
                  </w:r>
                </w:p>
                <w:p w:rsidR="00AF4F1E" w:rsidRDefault="00AF4F1E">
                  <w:pPr>
                    <w:pStyle w:val="metin"/>
                    <w:spacing w:before="0" w:beforeAutospacing="0" w:after="0" w:afterAutospacing="0" w:line="240" w:lineRule="atLeast"/>
                    <w:ind w:firstLine="566"/>
                    <w:jc w:val="both"/>
                    <w:rPr>
                      <w:sz w:val="19"/>
                      <w:szCs w:val="19"/>
                    </w:rPr>
                  </w:pPr>
                  <w:r>
                    <w:rPr>
                      <w:sz w:val="18"/>
                      <w:szCs w:val="18"/>
                    </w:rPr>
                    <w:t>(12) Anılan ithalatta birim fiyat 2017 yılında 9,4 ABD Doları/Kg, 2018 ve 2019 yıllarında 10,3 ABD Doları/Kg iken 2020 yılının ilk 4 ayında 6,3 ABD Doları/Kg’a gerilemiştir.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(13) Almanya’dan 55.13, 55.14, 55.15, 55.16 </w:t>
                  </w:r>
                  <w:proofErr w:type="spellStart"/>
                  <w:r>
                    <w:rPr>
                      <w:sz w:val="18"/>
                      <w:szCs w:val="18"/>
                    </w:rPr>
                    <w:t>GTP’lerinde</w:t>
                  </w:r>
                  <w:proofErr w:type="spellEnd"/>
                  <w:r>
                    <w:rPr>
                      <w:sz w:val="18"/>
                      <w:szCs w:val="18"/>
                    </w:rPr>
                    <w:t xml:space="preserve"> tanımlı eşya ithalatı 2017 yılında 8,6 milyon ABD Doları-1.125 ton; 2018 yılında 7,4 milyon ABD Doları-1.108 ton; 2019 yılında 10,8 milyon ABD Doları-1.830 ton; 2020 yılının ilk 4 ayında ise 2,9 milyon ABD Doları-451 ton olarak gerçekleşmiştir. Anılan ithalatın toplam ithalata miktar bazında oranı 2017 yılında %6,4 iken 2018 yılında %9,2’ye; 2019 yılında %14,9’a yükselmiş, 2020 yılının ilk 4 ayında ise %10,1 olarak gerçekleşmiştir.</w:t>
                  </w:r>
                </w:p>
                <w:p w:rsidR="00AF4F1E" w:rsidRDefault="00AF4F1E">
                  <w:pPr>
                    <w:pStyle w:val="metin"/>
                    <w:spacing w:before="0" w:beforeAutospacing="0" w:after="0" w:afterAutospacing="0" w:line="240" w:lineRule="atLeast"/>
                    <w:ind w:firstLine="566"/>
                    <w:jc w:val="both"/>
                    <w:rPr>
                      <w:sz w:val="19"/>
                      <w:szCs w:val="19"/>
                    </w:rPr>
                  </w:pPr>
                  <w:r>
                    <w:rPr>
                      <w:sz w:val="18"/>
                      <w:szCs w:val="18"/>
                    </w:rPr>
                    <w:lastRenderedPageBreak/>
                    <w:t>(14) Söz konusu ithalatta birim fiyat 2017 yılında 7,7 ABD Doları/Kg iken 2018 yılında 6,7 ABD Doları/Kg’a, 2019 yılında 5,9 ABD Doları/Kg’a gerilemiş, 2020 yılının ilk 4 ayında ise 6,4 ABD Doları/Kg olarak gerçekleşmiştir.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(15) İthalat istatistiklerinin incelenmesi neticesinde; gerek 54.07 </w:t>
                  </w:r>
                  <w:proofErr w:type="spellStart"/>
                  <w:r>
                    <w:rPr>
                      <w:sz w:val="18"/>
                      <w:szCs w:val="18"/>
                    </w:rPr>
                    <w:t>GTP’si</w:t>
                  </w:r>
                  <w:proofErr w:type="spellEnd"/>
                  <w:r>
                    <w:rPr>
                      <w:sz w:val="18"/>
                      <w:szCs w:val="18"/>
                    </w:rPr>
                    <w:t xml:space="preserve"> gerekse 55.13, 55.14, 55.15, 55.16 </w:t>
                  </w:r>
                  <w:proofErr w:type="spellStart"/>
                  <w:r>
                    <w:rPr>
                      <w:sz w:val="18"/>
                      <w:szCs w:val="18"/>
                    </w:rPr>
                    <w:t>GTP’leri</w:t>
                  </w:r>
                  <w:proofErr w:type="spellEnd"/>
                  <w:r>
                    <w:rPr>
                      <w:sz w:val="18"/>
                      <w:szCs w:val="18"/>
                    </w:rPr>
                    <w:t xml:space="preserve"> kapsamı eşyanın İtalya, İspanya ve Almanya’dan ithalatında hızlı bir artış görülmektedir. Buna ilaveten, anılan ülkelerden söz konusu ürün grupları ithalatında birim fiyatlar belirgin bir şekilde düşüş göstermiştir.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(16) </w:t>
                  </w:r>
                  <w:proofErr w:type="spellStart"/>
                  <w:r>
                    <w:rPr>
                      <w:sz w:val="18"/>
                      <w:szCs w:val="18"/>
                    </w:rPr>
                    <w:t>Trademap</w:t>
                  </w:r>
                  <w:proofErr w:type="spellEnd"/>
                  <w:r>
                    <w:rPr>
                      <w:sz w:val="18"/>
                      <w:szCs w:val="18"/>
                    </w:rPr>
                    <w:t xml:space="preserve"> verileri kullanılarak yapılan değerlendirmelerde İtalya, İspanya ve Almanya’nın dampinge karşı önleme tabi ülkelerden olan </w:t>
                  </w:r>
                  <w:proofErr w:type="spellStart"/>
                  <w:r>
                    <w:rPr>
                      <w:sz w:val="18"/>
                      <w:szCs w:val="18"/>
                    </w:rPr>
                    <w:t>ÇHC’den</w:t>
                  </w:r>
                  <w:proofErr w:type="spellEnd"/>
                  <w:r>
                    <w:rPr>
                      <w:sz w:val="18"/>
                      <w:szCs w:val="18"/>
                    </w:rPr>
                    <w:t xml:space="preserve"> 54.07 </w:t>
                  </w:r>
                  <w:proofErr w:type="spellStart"/>
                  <w:r>
                    <w:rPr>
                      <w:sz w:val="18"/>
                      <w:szCs w:val="18"/>
                    </w:rPr>
                    <w:t>GTP’si</w:t>
                  </w:r>
                  <w:proofErr w:type="spellEnd"/>
                  <w:r>
                    <w:rPr>
                      <w:sz w:val="18"/>
                      <w:szCs w:val="18"/>
                    </w:rPr>
                    <w:t xml:space="preserve"> kapsamı eşyada önemli miktarda ithalatının bulunduğu görülmektedir. Bu bağlamda, 2017-2019 döneminde İtalya’nın </w:t>
                  </w:r>
                  <w:proofErr w:type="spellStart"/>
                  <w:r>
                    <w:rPr>
                      <w:sz w:val="18"/>
                      <w:szCs w:val="18"/>
                    </w:rPr>
                    <w:t>ÇHC’den</w:t>
                  </w:r>
                  <w:proofErr w:type="spellEnd"/>
                  <w:r>
                    <w:rPr>
                      <w:sz w:val="18"/>
                      <w:szCs w:val="18"/>
                    </w:rPr>
                    <w:t xml:space="preserve"> gerçekleşen anılan eşya ithalatı sırasıyla 38, 39 ve 42 bin ton; Almanya’nın ithalatı ise 19, 19 ve 21 bin ton olarak gerçekleşmiştir. Anılan dönemde İspanya’nın </w:t>
                  </w:r>
                  <w:proofErr w:type="spellStart"/>
                  <w:r>
                    <w:rPr>
                      <w:sz w:val="18"/>
                      <w:szCs w:val="18"/>
                    </w:rPr>
                    <w:t>ÇHC’den</w:t>
                  </w:r>
                  <w:proofErr w:type="spellEnd"/>
                  <w:r>
                    <w:rPr>
                      <w:sz w:val="18"/>
                      <w:szCs w:val="18"/>
                    </w:rPr>
                    <w:t xml:space="preserve"> söz konusu ithalatı ise 23 bin ton seviyelerindedir.</w:t>
                  </w:r>
                </w:p>
                <w:p w:rsidR="00AF4F1E" w:rsidRDefault="00AF4F1E">
                  <w:pPr>
                    <w:pStyle w:val="metin"/>
                    <w:spacing w:before="0" w:beforeAutospacing="0" w:after="0" w:afterAutospacing="0" w:line="240" w:lineRule="atLeast"/>
                    <w:ind w:firstLine="566"/>
                    <w:jc w:val="both"/>
                    <w:rPr>
                      <w:sz w:val="19"/>
                      <w:szCs w:val="19"/>
                    </w:rPr>
                  </w:pPr>
                  <w:r>
                    <w:rPr>
                      <w:sz w:val="18"/>
                      <w:szCs w:val="18"/>
                    </w:rPr>
                    <w:t>(17) Ayrıca İtalya’nın, İthalatta Haksız Rekabetin Önlenmesine İlişkin Tebliğ (Tebliğ No:2019/15) çerçevesinde ÇHC menşeli ithalatta uygulanan dampinge karşı önlemin teşmil edildiği Yunanistan’dan 54.07 GTP kapsamı ithalatının, anılan önlemin teşmili sonrasında önemli oranda artış gösterdiği tespit edilmiştir. Söz konusu ithalatın 2018 yılında 459 ton iken 2019 yılında 2.882 tona yükseldiği ve ithalat birim fiyatının 7,3 ABD Doları/kg seviyesinden 2,3 ABD Doları/kg seviyesine gerilediği görülmektedir.</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(18) İtalya, İspanya ve Almanya’nın 54.07 </w:t>
                  </w:r>
                  <w:proofErr w:type="spellStart"/>
                  <w:r>
                    <w:rPr>
                      <w:sz w:val="18"/>
                      <w:szCs w:val="18"/>
                    </w:rPr>
                    <w:t>GTP’si</w:t>
                  </w:r>
                  <w:proofErr w:type="spellEnd"/>
                  <w:r>
                    <w:rPr>
                      <w:sz w:val="18"/>
                      <w:szCs w:val="18"/>
                    </w:rPr>
                    <w:t xml:space="preserve"> kapsamı eşya ihracatında Türkiye’nin payının 2017-2019 döneminde artış gösterdiği görülmektedir. Söz konusu oran 2017-2019 döneminde İtalya’da %2’den %10’a; İspanya’da %2’den %5’e; Almanya’da ise %2’den %11’e yükselmiştir. Bahse konu oran anılan ülkelerde 2020 yılının ilk ayında sırasıyla %26, %12 ve %13 olarak gerçekleşmiştir.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(19) Söz konusu üç ülkenin 54.07 kapsamı eşyada genel ihracatına bakıldığında birim fiyatlarda kayda değer bir düşüş yaşanmazken Türkiye’ye ihracatta birim fiyatlarda 2019 yılından itibaren önemli düşüş gerçekleştiği görülmektedir. Bu kapsamda, 2018-2019 yılları ile 2020 Ocak ayı döneminde İtalya’nın Türkiye’ye ihracat birim fiyatları sırasıyla 25, 8 ve 4 ABD Doları/Kg; İspanya’nın birim fiyatları 12, 8 ve 7 ABD Doları/Kg; Almanya’nın birim fiyatları ise 10, 6 ve 5 ABD Doları/Kg seviyesinde gerçekleşmiştir.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(20) Sonuç olarak; İtalya, İspanya ve Almanya ihracat istatistiklerinin uluslararası kaynaklardan incelenmesi neticesinde, anılan ülkelerin Türkiye’ye 54.07 GTP kapsamı eşya ihracatında hızlı bir artış bulunduğu görülmektedir. Buna ilaveten, Türkiye’ye ihracatta birim fiyatlar hızlı bir şekilde düşerek anılan ülkelerin genel ihracat birim fiyatlarına göre belirgin şekilde farklılaşmıştır.</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(21) İtalya, İspanya ve Almanya’nın dampinge karşı önleme tabi ülkelerden olan </w:t>
                  </w:r>
                  <w:proofErr w:type="spellStart"/>
                  <w:r>
                    <w:rPr>
                      <w:sz w:val="18"/>
                      <w:szCs w:val="18"/>
                    </w:rPr>
                    <w:t>ÇHC’den</w:t>
                  </w:r>
                  <w:proofErr w:type="spellEnd"/>
                  <w:r>
                    <w:rPr>
                      <w:sz w:val="18"/>
                      <w:szCs w:val="18"/>
                    </w:rPr>
                    <w:t xml:space="preserve"> 55.13, 55.14, 55.15, 55.16 </w:t>
                  </w:r>
                  <w:proofErr w:type="spellStart"/>
                  <w:r>
                    <w:rPr>
                      <w:sz w:val="18"/>
                      <w:szCs w:val="18"/>
                    </w:rPr>
                    <w:t>GTP’leri</w:t>
                  </w:r>
                  <w:proofErr w:type="spellEnd"/>
                  <w:r>
                    <w:rPr>
                      <w:sz w:val="18"/>
                      <w:szCs w:val="18"/>
                    </w:rPr>
                    <w:t xml:space="preserve"> kapsamı önemli miktarda ithalatı bulunduğu görülmektedir. Anılan eşya grubunda 2017-2019 döneminde İtalya’nın </w:t>
                  </w:r>
                  <w:proofErr w:type="spellStart"/>
                  <w:r>
                    <w:rPr>
                      <w:sz w:val="18"/>
                      <w:szCs w:val="18"/>
                    </w:rPr>
                    <w:t>ÇHC’den</w:t>
                  </w:r>
                  <w:proofErr w:type="spellEnd"/>
                  <w:r>
                    <w:rPr>
                      <w:sz w:val="18"/>
                      <w:szCs w:val="18"/>
                    </w:rPr>
                    <w:t xml:space="preserve"> 16-17 bin ton, İspanya ve Almanya’nın ise 10-11 bin ton seviyelerinde ithalatının bulunduğu tespit edilmiştir.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(22) İtalya’nın anılan eşyadan miktar bazında Türkiye’ye ihracatının aynı üründeki toplam ihracatındaki payının inceleme döneminde önemli oranda arttığı görülmektedir. Söz konusu oran 2017 yılında %2 seviyesinde iken 2019 yılında %4’e, 2020 yılının ilk ayında ise %13’e yükselmiştir.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(23) İtalya’nın söz konusu ihracatındaki birim fiyatlarına bakıldığında genel birim fiyatlarında önemli bir değişiklik olmazken Türkiye’ye ihracatta birim fiyatlarda ciddi bir düşüş görülmektedir. Bu kapsamda, anılan ülkenin Türkiye’ye ihracat birim fiyatı 2019 yılından itibaren hızlı bir düşüş göstererek 2017-2019 yılları ile 2020 Ocak ayında sırasıyla 15, 21, 11 ve 4 ABD Doları/Kg olarak gerçekleşmiştir.</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Karar ve işlemler</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MADDE 7 –</w:t>
                  </w:r>
                  <w:r>
                    <w:rPr>
                      <w:sz w:val="18"/>
                      <w:szCs w:val="18"/>
                    </w:rPr>
                    <w:t xml:space="preserve"> (1) Yapılan incelemeler sonucunda İthalatta Haksız Rekabeti Değerlendirme Kurulunca, İtalya, İspanya ve Almanya menşeli/çıkışlı 54.07 GTP altında kayıtlı “sentetik </w:t>
                  </w:r>
                  <w:proofErr w:type="spellStart"/>
                  <w:r>
                    <w:rPr>
                      <w:sz w:val="18"/>
                      <w:szCs w:val="18"/>
                    </w:rPr>
                    <w:t>filament</w:t>
                  </w:r>
                  <w:proofErr w:type="spellEnd"/>
                  <w:r>
                    <w:rPr>
                      <w:sz w:val="18"/>
                      <w:szCs w:val="18"/>
                    </w:rPr>
                    <w:t xml:space="preserve"> iplikten dokunmuş mensucat (giyim için olanlar)” ile 55.13, 55.14, 55.15, 55.16 </w:t>
                  </w:r>
                  <w:proofErr w:type="spellStart"/>
                  <w:r>
                    <w:rPr>
                      <w:sz w:val="18"/>
                      <w:szCs w:val="18"/>
                    </w:rPr>
                    <w:t>GTP’lerinde</w:t>
                  </w:r>
                  <w:proofErr w:type="spellEnd"/>
                  <w:r>
                    <w:rPr>
                      <w:sz w:val="18"/>
                      <w:szCs w:val="18"/>
                    </w:rPr>
                    <w:t xml:space="preserve"> tanımlı “sentetik veya suni devamsız liflerden dokunmuş mensucat” ithalatına ilişkin olarak Yönetmeliğin 38 inci maddesi çerçevesinde önlemlerin etkisiz kılınmasına karşı soruşturma açılmasına karar verilmiştir.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(2) İthalatta Haksız Rekabeti Değerlendirme Kurulunca, Kararın 11 inci maddesi çerçevesinde, İtalya, İspanya ve Almanya menşeli/çıkışlı 54.07 GTP altında kayıtlı “sentetik </w:t>
                  </w:r>
                  <w:proofErr w:type="spellStart"/>
                  <w:r>
                    <w:rPr>
                      <w:sz w:val="18"/>
                      <w:szCs w:val="18"/>
                    </w:rPr>
                    <w:t>filament</w:t>
                  </w:r>
                  <w:proofErr w:type="spellEnd"/>
                  <w:r>
                    <w:rPr>
                      <w:sz w:val="18"/>
                      <w:szCs w:val="18"/>
                    </w:rPr>
                    <w:t xml:space="preserve"> iplikten dokunmuş mensucat (giyim için olanlar)” ithalatının, İthalatta Haksız Rekabetin Önlenmesine İlişkin Tebliğ (Tebliğ No:2015/3) çerçevesinde; 55.13, 55.14, 55.15, 55.16 </w:t>
                  </w:r>
                  <w:proofErr w:type="spellStart"/>
                  <w:r>
                    <w:rPr>
                      <w:sz w:val="18"/>
                      <w:szCs w:val="18"/>
                    </w:rPr>
                    <w:t>GTP’lerinde</w:t>
                  </w:r>
                  <w:proofErr w:type="spellEnd"/>
                  <w:r>
                    <w:rPr>
                      <w:sz w:val="18"/>
                      <w:szCs w:val="18"/>
                    </w:rPr>
                    <w:t xml:space="preserve"> tanımlı “sentetik veya suni devamsız liflerden dokunmuş mensucat” ithalatının ise İthalatta Haksız Rekabetin Önlenmesine İlişkin Tebliğ (Tebliğ No:2019/4) çerçevesinde ÇHC menşeli ithalatta uygulanan dampinge karşı önlemlerle aynı şekil ve oranlarda teminata bağlanmasına karar verilmiştir.</w:t>
                  </w:r>
                </w:p>
                <w:p w:rsidR="00AF4F1E" w:rsidRDefault="00AF4F1E">
                  <w:pPr>
                    <w:pStyle w:val="metin"/>
                    <w:spacing w:before="0" w:beforeAutospacing="0" w:after="0" w:afterAutospacing="0" w:line="240" w:lineRule="atLeast"/>
                    <w:ind w:firstLine="566"/>
                    <w:jc w:val="both"/>
                    <w:rPr>
                      <w:sz w:val="19"/>
                      <w:szCs w:val="19"/>
                    </w:rPr>
                  </w:pPr>
                  <w:r>
                    <w:rPr>
                      <w:sz w:val="18"/>
                      <w:szCs w:val="18"/>
                    </w:rPr>
                    <w:t>(3) Soruşturma, Genel Müdürlük tarafından yürütülecektir.</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Soru formları ve bilgilerin toplanması</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MADDE 8 –</w:t>
                  </w:r>
                  <w:r>
                    <w:rPr>
                      <w:sz w:val="18"/>
                      <w:szCs w:val="18"/>
                    </w:rPr>
                    <w:t> (1) Soruşturma için gerekli bilgilerin temini amacıyla, söz konusu eşyanın bilinen ithalatçıları ile soruşturma kapsamına giren bilinen yabancı üretici/ihracatçılarına ve soruşturmaya konu ülkelerin Ankara’daki Büyükelçiliklerine soruşturmanın açılışına ilişkin bildirimde bulunulur. Bildirimde soruşturmanın açılış Tebliği, gizli olmayan rapor özeti ve soru formlarına erişim hususunda bilgiye yer verilir.</w:t>
                  </w:r>
                </w:p>
                <w:p w:rsidR="00AF4F1E" w:rsidRDefault="00AF4F1E">
                  <w:pPr>
                    <w:pStyle w:val="metin"/>
                    <w:spacing w:before="0" w:beforeAutospacing="0" w:after="0" w:afterAutospacing="0" w:line="240" w:lineRule="atLeast"/>
                    <w:ind w:firstLine="566"/>
                    <w:jc w:val="both"/>
                    <w:rPr>
                      <w:sz w:val="19"/>
                      <w:szCs w:val="19"/>
                    </w:rPr>
                  </w:pPr>
                  <w:r>
                    <w:rPr>
                      <w:sz w:val="18"/>
                      <w:szCs w:val="18"/>
                    </w:rPr>
                    <w:t>(2) Bildirim gönderilemeyen veya kendilerine bildirim ulaşmayan diğer ilgili taraflar, soruşturma ile ilgili bilgilere Bakanlığımızın https://www.ticaret.gov.tr/ithalat uzantılı internet sitesinden sırasıyla “Ticaret Politikası Savunma Araçları”, “İzleme ve Önlemlerin Etkisiz Kılınması”, “Yürüyen Soruşturmalar” sekmelerini takip ederek erişebilir.</w:t>
                  </w:r>
                </w:p>
                <w:p w:rsidR="00AF4F1E" w:rsidRDefault="00AF4F1E">
                  <w:pPr>
                    <w:pStyle w:val="metin"/>
                    <w:spacing w:before="0" w:beforeAutospacing="0" w:after="0" w:afterAutospacing="0" w:line="240" w:lineRule="atLeast"/>
                    <w:ind w:firstLine="566"/>
                    <w:jc w:val="both"/>
                    <w:rPr>
                      <w:sz w:val="19"/>
                      <w:szCs w:val="19"/>
                    </w:rPr>
                  </w:pPr>
                  <w:r>
                    <w:rPr>
                      <w:sz w:val="18"/>
                      <w:szCs w:val="18"/>
                    </w:rPr>
                    <w:t>(3) Soruşturmaya ilişkin yazılı ve sözlü iletişim Türkçe yapılır. Soru formuna yanıtlar hariç olmak üzere, Türkçe dışında bir dilde sunulan hiçbir bilgi, belge, görüş ve talep dikkate alınmaz.</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Süreler</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MADDE 9 –</w:t>
                  </w:r>
                  <w:r>
                    <w:rPr>
                      <w:sz w:val="18"/>
                      <w:szCs w:val="18"/>
                    </w:rPr>
                    <w:t> (1) Soru formunu cevaplandırma süresi, soruşturma açılmasına dair bildirimin gönderildiği tarihten itibaren posta süresi dahil 37 gündür. 8 inci maddede belirtilen, bildirimin ve soru formlarının gönderilmediği ilgili taraflar ise bu Tebliğin yayımı tarihinden itibaren işleyecek 37 günlük süre ile bağlıdırlar.</w:t>
                  </w:r>
                </w:p>
                <w:p w:rsidR="00AF4F1E" w:rsidRDefault="00AF4F1E">
                  <w:pPr>
                    <w:pStyle w:val="metin"/>
                    <w:spacing w:before="0" w:beforeAutospacing="0" w:after="0" w:afterAutospacing="0" w:line="240" w:lineRule="atLeast"/>
                    <w:ind w:firstLine="566"/>
                    <w:jc w:val="both"/>
                    <w:rPr>
                      <w:sz w:val="19"/>
                      <w:szCs w:val="19"/>
                    </w:rPr>
                  </w:pPr>
                  <w:r>
                    <w:rPr>
                      <w:sz w:val="18"/>
                      <w:szCs w:val="18"/>
                    </w:rPr>
                    <w:t>(2) Soru formunda istenilen bilgilerin haricinde, soruşturmayla ilgili olduğu düşünülen diğer bilgi, belge ve görüşlerin dikkate alınabilmesi için söz konusu bilgi, belge ve görüşler, bu Tebliğin yayımı tarihinden itibaren en geç 37 gün içinde Genel Müdürlüğe yazılı olarak ulaştırılması gerekir.</w:t>
                  </w:r>
                </w:p>
                <w:p w:rsidR="00AF4F1E" w:rsidRDefault="00AF4F1E">
                  <w:pPr>
                    <w:pStyle w:val="metin"/>
                    <w:spacing w:before="0" w:beforeAutospacing="0" w:after="0" w:afterAutospacing="0" w:line="240" w:lineRule="atLeast"/>
                    <w:ind w:firstLine="566"/>
                    <w:jc w:val="both"/>
                    <w:rPr>
                      <w:sz w:val="19"/>
                      <w:szCs w:val="19"/>
                    </w:rPr>
                  </w:pPr>
                  <w:r>
                    <w:rPr>
                      <w:sz w:val="18"/>
                      <w:szCs w:val="18"/>
                    </w:rPr>
                    <w:lastRenderedPageBreak/>
                    <w:t>(3) Soruşturmanın sonucundan etkilenebileceklerini iddia eden diğer ilgili tarafların da (yerli üreticiler, ithalatçılar, ilgili meslek kuruluşları, tüketici dernekleri, üretim dalındaki işçi veya işveren sendikaları ve benzeri) görüşleri ile konuya ilişkin her türlü bilgi ve belgeyi bu Tebliğin yayımı tarihinden itibaren soruşturmanın akışını etkilemeyecek şekilde soruşturma süreci içerisinde yazılı olarak Genel Müdürlüğe bildirmeleri gerekir.</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İş birliğine gelinmemesi</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MADDE 10 –</w:t>
                  </w:r>
                  <w:r>
                    <w:rPr>
                      <w:sz w:val="18"/>
                      <w:szCs w:val="18"/>
                    </w:rPr>
                    <w:t xml:space="preserve"> (1) Yönetmeliğin 26 </w:t>
                  </w:r>
                  <w:proofErr w:type="spellStart"/>
                  <w:r>
                    <w:rPr>
                      <w:sz w:val="18"/>
                      <w:szCs w:val="18"/>
                    </w:rPr>
                    <w:t>ncı</w:t>
                  </w:r>
                  <w:proofErr w:type="spellEnd"/>
                  <w:r>
                    <w:rPr>
                      <w:sz w:val="18"/>
                      <w:szCs w:val="18"/>
                    </w:rPr>
                    <w:t xml:space="preserve"> maddesinde belirtildiği üzere, taraflardan birinin belirtilen süreler içinde gerekli bilgiyi sağlayamaması veya yanlış bilgi vermesi ya da bilgi vermeyi reddetmesi veya soruşturmayı engellediğinin anlaşılması halinde soruşturmaya ilişkin karar, olumlu veya olumsuz, mevcut verilere göre alınır.</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Geçici önlem alınması, vergilerin geriye dönük uygulanması</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MADDE 11 –</w:t>
                  </w:r>
                  <w:r>
                    <w:rPr>
                      <w:sz w:val="18"/>
                      <w:szCs w:val="18"/>
                    </w:rPr>
                    <w:t> (1) Kararın ilgili maddeleri uyarınca, soruşturma süresince geçici önlem uygulanması kararlaştırılabilir ve kesin önlem geriye dönük olarak uygulanabilir.</w:t>
                  </w:r>
                </w:p>
                <w:p w:rsidR="00AF4F1E" w:rsidRDefault="00AF4F1E">
                  <w:pPr>
                    <w:pStyle w:val="metin"/>
                    <w:spacing w:before="0" w:beforeAutospacing="0" w:after="0" w:afterAutospacing="0" w:line="240" w:lineRule="atLeast"/>
                    <w:ind w:firstLine="566"/>
                    <w:jc w:val="both"/>
                    <w:rPr>
                      <w:sz w:val="19"/>
                      <w:szCs w:val="19"/>
                    </w:rPr>
                  </w:pPr>
                  <w:r>
                    <w:rPr>
                      <w:sz w:val="18"/>
                      <w:szCs w:val="18"/>
                    </w:rPr>
                    <w:t>(2) Önlemlerin uygulanmasında başlamış işlem kavramı ve istisnası bulunmamaktadır.</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Yetkili merci ve adresi</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MADDE 12 –</w:t>
                  </w:r>
                  <w:r>
                    <w:rPr>
                      <w:sz w:val="18"/>
                      <w:szCs w:val="18"/>
                    </w:rPr>
                    <w:t xml:space="preserve"> (1) Soruşturma ile ilgili bilgi ve belgeler ile görüşlerin aşağıda belirtilen yetkili </w:t>
                  </w:r>
                  <w:proofErr w:type="spellStart"/>
                  <w:r>
                    <w:rPr>
                      <w:sz w:val="18"/>
                      <w:szCs w:val="18"/>
                    </w:rPr>
                    <w:t>merciye</w:t>
                  </w:r>
                  <w:proofErr w:type="spellEnd"/>
                  <w:r>
                    <w:rPr>
                      <w:sz w:val="18"/>
                      <w:szCs w:val="18"/>
                    </w:rPr>
                    <w:t xml:space="preserve"> iletilmesi gerekir:</w:t>
                  </w:r>
                </w:p>
                <w:p w:rsidR="00AF4F1E" w:rsidRDefault="00AF4F1E">
                  <w:pPr>
                    <w:pStyle w:val="metin"/>
                    <w:spacing w:before="0" w:beforeAutospacing="0" w:after="0" w:afterAutospacing="0" w:line="240" w:lineRule="atLeast"/>
                    <w:ind w:firstLine="566"/>
                    <w:jc w:val="both"/>
                    <w:rPr>
                      <w:sz w:val="19"/>
                      <w:szCs w:val="19"/>
                    </w:rPr>
                  </w:pPr>
                  <w:r>
                    <w:rPr>
                      <w:sz w:val="18"/>
                      <w:szCs w:val="18"/>
                    </w:rPr>
                    <w:t>T.C. Ticaret Bakanlığı</w:t>
                  </w:r>
                </w:p>
                <w:p w:rsidR="00AF4F1E" w:rsidRDefault="00AF4F1E">
                  <w:pPr>
                    <w:pStyle w:val="metin"/>
                    <w:spacing w:before="0" w:beforeAutospacing="0" w:after="0" w:afterAutospacing="0" w:line="240" w:lineRule="atLeast"/>
                    <w:ind w:firstLine="566"/>
                    <w:jc w:val="both"/>
                    <w:rPr>
                      <w:sz w:val="19"/>
                      <w:szCs w:val="19"/>
                    </w:rPr>
                  </w:pPr>
                  <w:r>
                    <w:rPr>
                      <w:sz w:val="18"/>
                      <w:szCs w:val="18"/>
                    </w:rPr>
                    <w:t>İthalat Genel Müdürlüğü</w:t>
                  </w:r>
                </w:p>
                <w:p w:rsidR="00AF4F1E" w:rsidRDefault="00AF4F1E">
                  <w:pPr>
                    <w:pStyle w:val="metin"/>
                    <w:spacing w:before="0" w:beforeAutospacing="0" w:after="0" w:afterAutospacing="0" w:line="240" w:lineRule="atLeast"/>
                    <w:ind w:firstLine="566"/>
                    <w:jc w:val="both"/>
                    <w:rPr>
                      <w:sz w:val="19"/>
                      <w:szCs w:val="19"/>
                    </w:rPr>
                  </w:pPr>
                  <w:r>
                    <w:rPr>
                      <w:sz w:val="18"/>
                      <w:szCs w:val="18"/>
                    </w:rPr>
                    <w:t>İthalat Politikalarını İzleme ve Değerlendirme Dairesi</w:t>
                  </w:r>
                </w:p>
                <w:p w:rsidR="00AF4F1E" w:rsidRDefault="00AF4F1E">
                  <w:pPr>
                    <w:pStyle w:val="metin"/>
                    <w:spacing w:before="0" w:beforeAutospacing="0" w:after="0" w:afterAutospacing="0" w:line="240" w:lineRule="atLeast"/>
                    <w:ind w:firstLine="566"/>
                    <w:jc w:val="both"/>
                    <w:rPr>
                      <w:sz w:val="19"/>
                      <w:szCs w:val="19"/>
                    </w:rPr>
                  </w:pPr>
                  <w:r>
                    <w:rPr>
                      <w:sz w:val="18"/>
                      <w:szCs w:val="18"/>
                    </w:rPr>
                    <w:t xml:space="preserve">Adres: </w:t>
                  </w:r>
                  <w:proofErr w:type="spellStart"/>
                  <w:r>
                    <w:rPr>
                      <w:sz w:val="18"/>
                      <w:szCs w:val="18"/>
                    </w:rPr>
                    <w:t>Söğütözü</w:t>
                  </w:r>
                  <w:proofErr w:type="spellEnd"/>
                  <w:r>
                    <w:rPr>
                      <w:sz w:val="18"/>
                      <w:szCs w:val="18"/>
                    </w:rPr>
                    <w:t xml:space="preserve"> Mah. 2176. Sok. No:63 Çankaya/ANKARA</w:t>
                  </w:r>
                </w:p>
                <w:p w:rsidR="00AF4F1E" w:rsidRDefault="00AF4F1E">
                  <w:pPr>
                    <w:pStyle w:val="metin"/>
                    <w:spacing w:before="0" w:beforeAutospacing="0" w:after="0" w:afterAutospacing="0" w:line="240" w:lineRule="atLeast"/>
                    <w:ind w:firstLine="566"/>
                    <w:jc w:val="both"/>
                    <w:rPr>
                      <w:sz w:val="19"/>
                      <w:szCs w:val="19"/>
                    </w:rPr>
                  </w:pPr>
                  <w:r>
                    <w:rPr>
                      <w:sz w:val="18"/>
                      <w:szCs w:val="18"/>
                    </w:rPr>
                    <w:t>Tel: +90 312 204 99 44/9955, Faks: +90 312 204 87 65</w:t>
                  </w:r>
                </w:p>
                <w:p w:rsidR="00AF4F1E" w:rsidRDefault="00AF4F1E">
                  <w:pPr>
                    <w:pStyle w:val="metin"/>
                    <w:spacing w:before="0" w:beforeAutospacing="0" w:after="0" w:afterAutospacing="0" w:line="240" w:lineRule="atLeast"/>
                    <w:ind w:firstLine="566"/>
                    <w:jc w:val="both"/>
                    <w:rPr>
                      <w:sz w:val="19"/>
                      <w:szCs w:val="19"/>
                    </w:rPr>
                  </w:pPr>
                  <w:r>
                    <w:rPr>
                      <w:sz w:val="18"/>
                      <w:szCs w:val="18"/>
                      <w:u w:val="single"/>
                    </w:rPr>
                    <w:t>www.ticaret.gov.tr</w:t>
                  </w:r>
                </w:p>
                <w:p w:rsidR="00AF4F1E" w:rsidRDefault="00AF4F1E">
                  <w:pPr>
                    <w:pStyle w:val="metin"/>
                    <w:spacing w:before="0" w:beforeAutospacing="0" w:after="0" w:afterAutospacing="0" w:line="240" w:lineRule="atLeast"/>
                    <w:ind w:firstLine="566"/>
                    <w:jc w:val="both"/>
                    <w:rPr>
                      <w:sz w:val="19"/>
                      <w:szCs w:val="19"/>
                    </w:rPr>
                  </w:pPr>
                  <w:r>
                    <w:rPr>
                      <w:sz w:val="18"/>
                      <w:szCs w:val="18"/>
                    </w:rPr>
                    <w:t>(2) Soruşturmada “Türkiye’de yerleşik firma, kurum ve kuruluşlardan ilgili taraf olmak isteyenler”, soru formlarına cevapları ile soruşturma ile ilgili görüşlerini, kendilerine ait KEP adreslerinden Bakanlığın aşağıda yer alan KEP adresine ve e-posta adresine gönderir.</w:t>
                  </w:r>
                </w:p>
                <w:p w:rsidR="00AF4F1E" w:rsidRDefault="00AF4F1E">
                  <w:pPr>
                    <w:pStyle w:val="metin"/>
                    <w:spacing w:before="0" w:beforeAutospacing="0" w:after="0" w:afterAutospacing="0" w:line="240" w:lineRule="atLeast"/>
                    <w:ind w:firstLine="566"/>
                    <w:jc w:val="both"/>
                    <w:rPr>
                      <w:sz w:val="19"/>
                      <w:szCs w:val="19"/>
                    </w:rPr>
                  </w:pPr>
                  <w:r>
                    <w:rPr>
                      <w:sz w:val="18"/>
                      <w:szCs w:val="18"/>
                    </w:rPr>
                    <w:t>KEP Adresi: </w:t>
                  </w:r>
                  <w:r>
                    <w:rPr>
                      <w:sz w:val="18"/>
                      <w:szCs w:val="18"/>
                      <w:u w:val="single"/>
                    </w:rPr>
                    <w:t>ekonomi@hs01.kep.tr</w:t>
                  </w:r>
                </w:p>
                <w:p w:rsidR="00AF4F1E" w:rsidRDefault="00AF4F1E">
                  <w:pPr>
                    <w:pStyle w:val="metin"/>
                    <w:spacing w:before="0" w:beforeAutospacing="0" w:after="0" w:afterAutospacing="0" w:line="240" w:lineRule="atLeast"/>
                    <w:ind w:firstLine="566"/>
                    <w:jc w:val="both"/>
                    <w:rPr>
                      <w:sz w:val="19"/>
                      <w:szCs w:val="19"/>
                    </w:rPr>
                  </w:pPr>
                  <w:r>
                    <w:rPr>
                      <w:sz w:val="18"/>
                      <w:szCs w:val="18"/>
                    </w:rPr>
                    <w:t>E-posta Adresi: </w:t>
                  </w:r>
                  <w:r>
                    <w:rPr>
                      <w:sz w:val="18"/>
                      <w:szCs w:val="18"/>
                      <w:u w:val="single"/>
                    </w:rPr>
                    <w:t>oeksorusturma@ticaret.gov.tr</w:t>
                  </w:r>
                </w:p>
                <w:p w:rsidR="00AF4F1E" w:rsidRDefault="00AF4F1E">
                  <w:pPr>
                    <w:pStyle w:val="metin"/>
                    <w:spacing w:before="0" w:beforeAutospacing="0" w:after="0" w:afterAutospacing="0" w:line="240" w:lineRule="atLeast"/>
                    <w:ind w:firstLine="566"/>
                    <w:jc w:val="both"/>
                    <w:rPr>
                      <w:sz w:val="19"/>
                      <w:szCs w:val="19"/>
                    </w:rPr>
                  </w:pPr>
                  <w:r>
                    <w:rPr>
                      <w:sz w:val="18"/>
                      <w:szCs w:val="18"/>
                    </w:rPr>
                    <w:t>(3) Soruşturmada “yurt dışında yerleşik firma, kurum ve kuruluşlardan ilgili taraf olmak isteyenler”, soru formlarına cevapları ile soruşturma ile ilgili görüşlerini Bakanlığın aşağıda yer alan e-posta adresine ve posta adresine gönderir.</w:t>
                  </w:r>
                </w:p>
                <w:p w:rsidR="00AF4F1E" w:rsidRDefault="00AF4F1E">
                  <w:pPr>
                    <w:pStyle w:val="metin"/>
                    <w:spacing w:before="0" w:beforeAutospacing="0" w:after="0" w:afterAutospacing="0" w:line="240" w:lineRule="atLeast"/>
                    <w:ind w:firstLine="566"/>
                    <w:jc w:val="both"/>
                    <w:rPr>
                      <w:sz w:val="19"/>
                      <w:szCs w:val="19"/>
                    </w:rPr>
                  </w:pPr>
                  <w:r>
                    <w:rPr>
                      <w:sz w:val="18"/>
                      <w:szCs w:val="18"/>
                    </w:rPr>
                    <w:t>E-posta Adresi: </w:t>
                  </w:r>
                  <w:r>
                    <w:rPr>
                      <w:sz w:val="18"/>
                      <w:szCs w:val="18"/>
                      <w:u w:val="single"/>
                    </w:rPr>
                    <w:t>oeksorusturma@ticaret.gov.tr</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Soruşturmanın başlangıç tarihi</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MADDE 13 –</w:t>
                  </w:r>
                  <w:r>
                    <w:rPr>
                      <w:sz w:val="18"/>
                      <w:szCs w:val="18"/>
                    </w:rPr>
                    <w:t> (1) Soruşturma, bu Tebliğin yayımı tarihinde başlamış kabul edilir.</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Yürürlük</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MADDE 14 –</w:t>
                  </w:r>
                  <w:r>
                    <w:rPr>
                      <w:sz w:val="18"/>
                      <w:szCs w:val="18"/>
                    </w:rPr>
                    <w:t> (1) Bu Tebliğ yayımı tarihinde yürürlüğe girer.</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Yürütme</w:t>
                  </w:r>
                </w:p>
                <w:p w:rsidR="00AF4F1E" w:rsidRDefault="00AF4F1E">
                  <w:pPr>
                    <w:pStyle w:val="metin"/>
                    <w:spacing w:before="0" w:beforeAutospacing="0" w:after="0" w:afterAutospacing="0" w:line="240" w:lineRule="atLeast"/>
                    <w:ind w:firstLine="566"/>
                    <w:jc w:val="both"/>
                    <w:rPr>
                      <w:sz w:val="19"/>
                      <w:szCs w:val="19"/>
                    </w:rPr>
                  </w:pPr>
                  <w:r>
                    <w:rPr>
                      <w:b/>
                      <w:bCs/>
                      <w:sz w:val="18"/>
                      <w:szCs w:val="18"/>
                    </w:rPr>
                    <w:t>MADDE 15 – </w:t>
                  </w:r>
                  <w:r>
                    <w:rPr>
                      <w:sz w:val="18"/>
                      <w:szCs w:val="18"/>
                    </w:rPr>
                    <w:t>(1) Bu Tebliğ hükümlerini Ticaret Bakanı yürütür.</w:t>
                  </w:r>
                </w:p>
                <w:p w:rsidR="00AF4F1E" w:rsidRDefault="00AF4F1E">
                  <w:pPr>
                    <w:pStyle w:val="metin"/>
                    <w:spacing w:before="0" w:beforeAutospacing="0" w:after="0" w:afterAutospacing="0" w:line="240" w:lineRule="atLeast"/>
                    <w:ind w:firstLine="566"/>
                    <w:jc w:val="both"/>
                    <w:rPr>
                      <w:sz w:val="19"/>
                      <w:szCs w:val="19"/>
                    </w:rPr>
                  </w:pPr>
                  <w:r>
                    <w:rPr>
                      <w:sz w:val="18"/>
                      <w:szCs w:val="18"/>
                    </w:rPr>
                    <w:t> </w:t>
                  </w:r>
                </w:p>
                <w:p w:rsidR="00AF4F1E" w:rsidRDefault="0041121A">
                  <w:pPr>
                    <w:pStyle w:val="metin"/>
                    <w:spacing w:before="0" w:beforeAutospacing="0" w:after="0" w:afterAutospacing="0" w:line="240" w:lineRule="atLeast"/>
                    <w:jc w:val="both"/>
                    <w:rPr>
                      <w:sz w:val="19"/>
                      <w:szCs w:val="19"/>
                    </w:rPr>
                  </w:pPr>
                  <w:hyperlink r:id="rId5" w:history="1">
                    <w:r w:rsidR="00AF4F1E">
                      <w:rPr>
                        <w:rStyle w:val="Kpr"/>
                        <w:b/>
                        <w:bCs/>
                        <w:color w:val="800080"/>
                        <w:sz w:val="18"/>
                        <w:szCs w:val="18"/>
                      </w:rPr>
                      <w:t>Eki için tıklayınız</w:t>
                    </w:r>
                  </w:hyperlink>
                </w:p>
                <w:p w:rsidR="00AF4F1E" w:rsidRDefault="00AF4F1E">
                  <w:pPr>
                    <w:pStyle w:val="metin"/>
                    <w:spacing w:before="0" w:beforeAutospacing="0" w:after="0" w:afterAutospacing="0" w:line="240" w:lineRule="atLeast"/>
                    <w:jc w:val="center"/>
                    <w:rPr>
                      <w:sz w:val="19"/>
                      <w:szCs w:val="19"/>
                    </w:rPr>
                  </w:pPr>
                  <w:r>
                    <w:rPr>
                      <w:sz w:val="18"/>
                      <w:szCs w:val="18"/>
                    </w:rPr>
                    <w:t> </w:t>
                  </w:r>
                </w:p>
                <w:p w:rsidR="00AF4F1E" w:rsidRDefault="00AF4F1E">
                  <w:pPr>
                    <w:pStyle w:val="NormalWeb"/>
                    <w:jc w:val="center"/>
                  </w:pPr>
                  <w:r>
                    <w:rPr>
                      <w:rFonts w:ascii="Arial" w:hAnsi="Arial" w:cs="Arial"/>
                      <w:b/>
                      <w:bCs/>
                      <w:color w:val="000080"/>
                      <w:sz w:val="18"/>
                      <w:szCs w:val="18"/>
                    </w:rPr>
                    <w:t> </w:t>
                  </w:r>
                </w:p>
              </w:tc>
            </w:tr>
          </w:tbl>
          <w:p w:rsidR="00AF4F1E" w:rsidRDefault="00AF4F1E"/>
        </w:tc>
      </w:tr>
    </w:tbl>
    <w:p w:rsidR="00AF4F1E" w:rsidRDefault="00AF4F1E" w:rsidP="00AF4F1E">
      <w:pPr>
        <w:jc w:val="center"/>
        <w:rPr>
          <w:color w:val="000000"/>
          <w:sz w:val="27"/>
          <w:szCs w:val="27"/>
        </w:rPr>
      </w:pPr>
      <w:r>
        <w:rPr>
          <w:color w:val="000000"/>
          <w:sz w:val="27"/>
          <w:szCs w:val="27"/>
        </w:rPr>
        <w:lastRenderedPageBreak/>
        <w:t> </w:t>
      </w:r>
    </w:p>
    <w:p w:rsidR="00AF4F1E" w:rsidRPr="002B1E63" w:rsidRDefault="00AF4F1E" w:rsidP="002B1E63"/>
    <w:sectPr w:rsidR="00AF4F1E" w:rsidRPr="002B1E63" w:rsidSect="00B352A6">
      <w:pgSz w:w="11906" w:h="16838"/>
      <w:pgMar w:top="0" w:right="1274"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00006FF" w:usb1="4000205B" w:usb2="00000010"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803"/>
    <w:multiLevelType w:val="multilevel"/>
    <w:tmpl w:val="C9D23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F2DC5"/>
    <w:multiLevelType w:val="multilevel"/>
    <w:tmpl w:val="15A6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92395"/>
    <w:multiLevelType w:val="multilevel"/>
    <w:tmpl w:val="756E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DD1E53"/>
    <w:multiLevelType w:val="hybridMultilevel"/>
    <w:tmpl w:val="3E48C65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192C52EC"/>
    <w:multiLevelType w:val="multilevel"/>
    <w:tmpl w:val="E2A8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2B6065"/>
    <w:multiLevelType w:val="multilevel"/>
    <w:tmpl w:val="9D28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EA7FD1"/>
    <w:multiLevelType w:val="multilevel"/>
    <w:tmpl w:val="894E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053C5"/>
    <w:multiLevelType w:val="hybridMultilevel"/>
    <w:tmpl w:val="09A45528"/>
    <w:lvl w:ilvl="0" w:tplc="041F000B">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8">
    <w:nsid w:val="46D7665F"/>
    <w:multiLevelType w:val="multilevel"/>
    <w:tmpl w:val="3BA8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D06943"/>
    <w:multiLevelType w:val="multilevel"/>
    <w:tmpl w:val="15BC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8330F6"/>
    <w:multiLevelType w:val="multilevel"/>
    <w:tmpl w:val="F6C2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8A7EEA"/>
    <w:multiLevelType w:val="hybridMultilevel"/>
    <w:tmpl w:val="674095EA"/>
    <w:lvl w:ilvl="0" w:tplc="77A803AE">
      <w:numFmt w:val="bullet"/>
      <w:lvlText w:val="-"/>
      <w:lvlJc w:val="left"/>
      <w:pPr>
        <w:ind w:left="1080" w:hanging="720"/>
      </w:pPr>
      <w:rPr>
        <w:rFonts w:ascii="Georgia" w:eastAsia="Times New Roman" w:hAnsi="Georgi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66D774C"/>
    <w:multiLevelType w:val="multilevel"/>
    <w:tmpl w:val="F60A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6314F5"/>
    <w:multiLevelType w:val="multilevel"/>
    <w:tmpl w:val="4EF6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4"/>
  </w:num>
  <w:num w:numId="4">
    <w:abstractNumId w:val="10"/>
  </w:num>
  <w:num w:numId="5">
    <w:abstractNumId w:val="6"/>
  </w:num>
  <w:num w:numId="6">
    <w:abstractNumId w:val="8"/>
  </w:num>
  <w:num w:numId="7">
    <w:abstractNumId w:val="13"/>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11"/>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9"/>
  <w:hyphenationZone w:val="425"/>
  <w:characterSpacingControl w:val="doNotCompress"/>
  <w:compat/>
  <w:rsids>
    <w:rsidRoot w:val="00341B95"/>
    <w:rsid w:val="000275CB"/>
    <w:rsid w:val="00074374"/>
    <w:rsid w:val="000C7700"/>
    <w:rsid w:val="000E04D7"/>
    <w:rsid w:val="000F72D2"/>
    <w:rsid w:val="00167593"/>
    <w:rsid w:val="001C52FC"/>
    <w:rsid w:val="001D3EE0"/>
    <w:rsid w:val="00225CD9"/>
    <w:rsid w:val="00243178"/>
    <w:rsid w:val="002615D0"/>
    <w:rsid w:val="002874A6"/>
    <w:rsid w:val="002A3420"/>
    <w:rsid w:val="002A53AF"/>
    <w:rsid w:val="002B1E63"/>
    <w:rsid w:val="00335031"/>
    <w:rsid w:val="00341B95"/>
    <w:rsid w:val="0035365F"/>
    <w:rsid w:val="00357488"/>
    <w:rsid w:val="0039498A"/>
    <w:rsid w:val="003949E1"/>
    <w:rsid w:val="00395671"/>
    <w:rsid w:val="003C3368"/>
    <w:rsid w:val="003C447B"/>
    <w:rsid w:val="003E01E5"/>
    <w:rsid w:val="0041121A"/>
    <w:rsid w:val="00435811"/>
    <w:rsid w:val="00443324"/>
    <w:rsid w:val="00453717"/>
    <w:rsid w:val="0046580A"/>
    <w:rsid w:val="004744E5"/>
    <w:rsid w:val="004873F5"/>
    <w:rsid w:val="004C18A5"/>
    <w:rsid w:val="004F06F6"/>
    <w:rsid w:val="00506AE2"/>
    <w:rsid w:val="00507F61"/>
    <w:rsid w:val="005226B9"/>
    <w:rsid w:val="00531A14"/>
    <w:rsid w:val="00555356"/>
    <w:rsid w:val="00570597"/>
    <w:rsid w:val="00570B5B"/>
    <w:rsid w:val="005711C9"/>
    <w:rsid w:val="00572478"/>
    <w:rsid w:val="00586D6D"/>
    <w:rsid w:val="005B2454"/>
    <w:rsid w:val="005C5252"/>
    <w:rsid w:val="005D33FF"/>
    <w:rsid w:val="005E1E90"/>
    <w:rsid w:val="005E3FEE"/>
    <w:rsid w:val="00603610"/>
    <w:rsid w:val="0061146D"/>
    <w:rsid w:val="00620D97"/>
    <w:rsid w:val="0066781B"/>
    <w:rsid w:val="00675497"/>
    <w:rsid w:val="00681B12"/>
    <w:rsid w:val="00696B94"/>
    <w:rsid w:val="006B7A6B"/>
    <w:rsid w:val="006C34A9"/>
    <w:rsid w:val="006E3468"/>
    <w:rsid w:val="006E47F8"/>
    <w:rsid w:val="007107A4"/>
    <w:rsid w:val="007250CB"/>
    <w:rsid w:val="00735CBF"/>
    <w:rsid w:val="0076086E"/>
    <w:rsid w:val="007675E6"/>
    <w:rsid w:val="0077317F"/>
    <w:rsid w:val="00776795"/>
    <w:rsid w:val="00796B07"/>
    <w:rsid w:val="007B1812"/>
    <w:rsid w:val="007D3A97"/>
    <w:rsid w:val="008151F6"/>
    <w:rsid w:val="00817DD4"/>
    <w:rsid w:val="0087409D"/>
    <w:rsid w:val="008776D2"/>
    <w:rsid w:val="0089412A"/>
    <w:rsid w:val="0089633E"/>
    <w:rsid w:val="008B6642"/>
    <w:rsid w:val="008F5012"/>
    <w:rsid w:val="00925CF0"/>
    <w:rsid w:val="00992526"/>
    <w:rsid w:val="00996DF8"/>
    <w:rsid w:val="00A1280F"/>
    <w:rsid w:val="00A505F2"/>
    <w:rsid w:val="00A651D2"/>
    <w:rsid w:val="00A97BCF"/>
    <w:rsid w:val="00AD501F"/>
    <w:rsid w:val="00AF4F1E"/>
    <w:rsid w:val="00B21B9A"/>
    <w:rsid w:val="00B3002A"/>
    <w:rsid w:val="00B352A6"/>
    <w:rsid w:val="00B600F9"/>
    <w:rsid w:val="00B77CBB"/>
    <w:rsid w:val="00BA745D"/>
    <w:rsid w:val="00BD0273"/>
    <w:rsid w:val="00BD28CF"/>
    <w:rsid w:val="00C07565"/>
    <w:rsid w:val="00C110F3"/>
    <w:rsid w:val="00C1166A"/>
    <w:rsid w:val="00C16DD7"/>
    <w:rsid w:val="00C21ACB"/>
    <w:rsid w:val="00C47C57"/>
    <w:rsid w:val="00C8269C"/>
    <w:rsid w:val="00C959F1"/>
    <w:rsid w:val="00C95CBC"/>
    <w:rsid w:val="00CB3E03"/>
    <w:rsid w:val="00CC2AC0"/>
    <w:rsid w:val="00CC4C09"/>
    <w:rsid w:val="00D1389C"/>
    <w:rsid w:val="00D16BB2"/>
    <w:rsid w:val="00D71740"/>
    <w:rsid w:val="00D8498F"/>
    <w:rsid w:val="00DB020C"/>
    <w:rsid w:val="00DD63A0"/>
    <w:rsid w:val="00DD691A"/>
    <w:rsid w:val="00E0016E"/>
    <w:rsid w:val="00E1213C"/>
    <w:rsid w:val="00E32309"/>
    <w:rsid w:val="00E4746B"/>
    <w:rsid w:val="00E54033"/>
    <w:rsid w:val="00E56C91"/>
    <w:rsid w:val="00EB324F"/>
    <w:rsid w:val="00EC4869"/>
    <w:rsid w:val="00ED4558"/>
    <w:rsid w:val="00EF25E2"/>
    <w:rsid w:val="00F125F0"/>
    <w:rsid w:val="00F21932"/>
    <w:rsid w:val="00F53881"/>
    <w:rsid w:val="00F56BBC"/>
    <w:rsid w:val="00FA6F36"/>
    <w:rsid w:val="00FC2AC5"/>
    <w:rsid w:val="00FE69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5"/>
    <w:pPr>
      <w:spacing w:after="0" w:line="240" w:lineRule="auto"/>
    </w:pPr>
    <w:rPr>
      <w:rFonts w:ascii="Calibri" w:hAnsi="Calibri" w:cs="Calibri"/>
    </w:rPr>
  </w:style>
  <w:style w:type="paragraph" w:styleId="Balk2">
    <w:name w:val="heading 2"/>
    <w:basedOn w:val="Normal"/>
    <w:link w:val="Balk2Char"/>
    <w:uiPriority w:val="9"/>
    <w:qFormat/>
    <w:rsid w:val="00E4746B"/>
    <w:pPr>
      <w:spacing w:before="100" w:beforeAutospacing="1" w:after="100" w:afterAutospacing="1"/>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E4746B"/>
    <w:pPr>
      <w:spacing w:before="100" w:beforeAutospacing="1" w:after="100" w:afterAutospacing="1"/>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E4746B"/>
    <w:pPr>
      <w:spacing w:before="100" w:beforeAutospacing="1" w:after="100" w:afterAutospacing="1"/>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55356"/>
    <w:pPr>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55356"/>
    <w:rPr>
      <w:b/>
      <w:bCs/>
    </w:rPr>
  </w:style>
  <w:style w:type="character" w:styleId="Kpr">
    <w:name w:val="Hyperlink"/>
    <w:basedOn w:val="VarsaylanParagrafYazTipi"/>
    <w:uiPriority w:val="99"/>
    <w:unhideWhenUsed/>
    <w:rsid w:val="00992526"/>
    <w:rPr>
      <w:color w:val="0563C1" w:themeColor="hyperlink"/>
      <w:u w:val="single"/>
    </w:rPr>
  </w:style>
  <w:style w:type="character" w:customStyle="1" w:styleId="UnresolvedMention">
    <w:name w:val="Unresolved Mention"/>
    <w:basedOn w:val="VarsaylanParagrafYazTipi"/>
    <w:uiPriority w:val="99"/>
    <w:semiHidden/>
    <w:unhideWhenUsed/>
    <w:rsid w:val="00992526"/>
    <w:rPr>
      <w:color w:val="605E5C"/>
      <w:shd w:val="clear" w:color="auto" w:fill="E1DFDD"/>
    </w:rPr>
  </w:style>
  <w:style w:type="character" w:styleId="zlenenKpr">
    <w:name w:val="FollowedHyperlink"/>
    <w:basedOn w:val="VarsaylanParagrafYazTipi"/>
    <w:uiPriority w:val="99"/>
    <w:semiHidden/>
    <w:unhideWhenUsed/>
    <w:rsid w:val="00E56C91"/>
    <w:rPr>
      <w:color w:val="954F72" w:themeColor="followedHyperlink"/>
      <w:u w:val="single"/>
    </w:rPr>
  </w:style>
  <w:style w:type="paragraph" w:styleId="DzMetin">
    <w:name w:val="Plain Text"/>
    <w:basedOn w:val="Normal"/>
    <w:link w:val="DzMetinChar"/>
    <w:uiPriority w:val="99"/>
    <w:semiHidden/>
    <w:unhideWhenUsed/>
    <w:rsid w:val="00453717"/>
    <w:rPr>
      <w:szCs w:val="21"/>
    </w:rPr>
  </w:style>
  <w:style w:type="character" w:customStyle="1" w:styleId="DzMetinChar">
    <w:name w:val="Düz Metin Char"/>
    <w:basedOn w:val="VarsaylanParagrafYazTipi"/>
    <w:link w:val="DzMetin"/>
    <w:uiPriority w:val="99"/>
    <w:semiHidden/>
    <w:rsid w:val="00453717"/>
    <w:rPr>
      <w:rFonts w:ascii="Calibri" w:hAnsi="Calibri"/>
      <w:szCs w:val="21"/>
    </w:rPr>
  </w:style>
  <w:style w:type="character" w:customStyle="1" w:styleId="Gvdemetni2">
    <w:name w:val="Gövde metni (2)_"/>
    <w:basedOn w:val="VarsaylanParagrafYazTipi"/>
    <w:link w:val="Gvdemetni20"/>
    <w:rsid w:val="008776D2"/>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8776D2"/>
    <w:pPr>
      <w:widowControl w:val="0"/>
      <w:shd w:val="clear" w:color="auto" w:fill="FFFFFF"/>
      <w:spacing w:line="244" w:lineRule="exact"/>
    </w:pPr>
    <w:rPr>
      <w:rFonts w:ascii="Times New Roman" w:eastAsia="Times New Roman" w:hAnsi="Times New Roman" w:cs="Times New Roman"/>
    </w:rPr>
  </w:style>
  <w:style w:type="character" w:styleId="Vurgu">
    <w:name w:val="Emphasis"/>
    <w:basedOn w:val="VarsaylanParagrafYazTipi"/>
    <w:uiPriority w:val="20"/>
    <w:qFormat/>
    <w:rsid w:val="000F72D2"/>
    <w:rPr>
      <w:i/>
      <w:iCs/>
    </w:rPr>
  </w:style>
  <w:style w:type="paragraph" w:styleId="ListeParagraf">
    <w:name w:val="List Paragraph"/>
    <w:basedOn w:val="Normal"/>
    <w:uiPriority w:val="34"/>
    <w:qFormat/>
    <w:rsid w:val="004C18A5"/>
    <w:pPr>
      <w:ind w:left="720"/>
    </w:pPr>
  </w:style>
  <w:style w:type="character" w:customStyle="1" w:styleId="Balk2Char">
    <w:name w:val="Başlık 2 Char"/>
    <w:basedOn w:val="VarsaylanParagrafYazTipi"/>
    <w:link w:val="Balk2"/>
    <w:uiPriority w:val="9"/>
    <w:rsid w:val="00E4746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E4746B"/>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E4746B"/>
    <w:rPr>
      <w:rFonts w:ascii="Times New Roman" w:eastAsia="Times New Roman" w:hAnsi="Times New Roman" w:cs="Times New Roman"/>
      <w:b/>
      <w:bCs/>
      <w:sz w:val="20"/>
      <w:szCs w:val="20"/>
      <w:lang w:eastAsia="tr-TR"/>
    </w:rPr>
  </w:style>
  <w:style w:type="character" w:customStyle="1" w:styleId="defaultfonthxmailstyle">
    <w:name w:val="defaultfonthxmailstyle"/>
    <w:basedOn w:val="VarsaylanParagrafYazTipi"/>
    <w:rsid w:val="00A1280F"/>
    <w:rPr>
      <w:rFonts w:ascii="Verdana" w:hAnsi="Verdana" w:hint="default"/>
      <w:b w:val="0"/>
      <w:bCs w:val="0"/>
      <w:i w:val="0"/>
      <w:iCs w:val="0"/>
      <w:strike w:val="0"/>
      <w:dstrike w:val="0"/>
      <w:color w:val="auto"/>
      <w:u w:val="none"/>
      <w:effect w:val="none"/>
    </w:rPr>
  </w:style>
  <w:style w:type="character" w:customStyle="1" w:styleId="Gvdemetni2talik">
    <w:name w:val="Gövde metni (2) + İtalik"/>
    <w:basedOn w:val="Gvdemetni2"/>
    <w:rsid w:val="00DD691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paragraph" w:customStyle="1" w:styleId="balk11pt">
    <w:name w:val="balk11pt"/>
    <w:basedOn w:val="Normal"/>
    <w:rsid w:val="00AF4F1E"/>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ortabalkbold">
    <w:name w:val="ortabalkbold"/>
    <w:basedOn w:val="Normal"/>
    <w:rsid w:val="00AF4F1E"/>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metin">
    <w:name w:val="metin"/>
    <w:basedOn w:val="Normal"/>
    <w:rsid w:val="00AF4F1E"/>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2958019">
      <w:bodyDiv w:val="1"/>
      <w:marLeft w:val="0"/>
      <w:marRight w:val="0"/>
      <w:marTop w:val="0"/>
      <w:marBottom w:val="0"/>
      <w:divBdr>
        <w:top w:val="none" w:sz="0" w:space="0" w:color="auto"/>
        <w:left w:val="none" w:sz="0" w:space="0" w:color="auto"/>
        <w:bottom w:val="none" w:sz="0" w:space="0" w:color="auto"/>
        <w:right w:val="none" w:sz="0" w:space="0" w:color="auto"/>
      </w:divBdr>
    </w:div>
    <w:div w:id="194585640">
      <w:bodyDiv w:val="1"/>
      <w:marLeft w:val="0"/>
      <w:marRight w:val="0"/>
      <w:marTop w:val="0"/>
      <w:marBottom w:val="0"/>
      <w:divBdr>
        <w:top w:val="none" w:sz="0" w:space="0" w:color="auto"/>
        <w:left w:val="none" w:sz="0" w:space="0" w:color="auto"/>
        <w:bottom w:val="none" w:sz="0" w:space="0" w:color="auto"/>
        <w:right w:val="none" w:sz="0" w:space="0" w:color="auto"/>
      </w:divBdr>
    </w:div>
    <w:div w:id="346176392">
      <w:bodyDiv w:val="1"/>
      <w:marLeft w:val="0"/>
      <w:marRight w:val="0"/>
      <w:marTop w:val="0"/>
      <w:marBottom w:val="0"/>
      <w:divBdr>
        <w:top w:val="none" w:sz="0" w:space="0" w:color="auto"/>
        <w:left w:val="none" w:sz="0" w:space="0" w:color="auto"/>
        <w:bottom w:val="none" w:sz="0" w:space="0" w:color="auto"/>
        <w:right w:val="none" w:sz="0" w:space="0" w:color="auto"/>
      </w:divBdr>
    </w:div>
    <w:div w:id="392655713">
      <w:bodyDiv w:val="1"/>
      <w:marLeft w:val="0"/>
      <w:marRight w:val="0"/>
      <w:marTop w:val="0"/>
      <w:marBottom w:val="0"/>
      <w:divBdr>
        <w:top w:val="none" w:sz="0" w:space="0" w:color="auto"/>
        <w:left w:val="none" w:sz="0" w:space="0" w:color="auto"/>
        <w:bottom w:val="none" w:sz="0" w:space="0" w:color="auto"/>
        <w:right w:val="none" w:sz="0" w:space="0" w:color="auto"/>
      </w:divBdr>
    </w:div>
    <w:div w:id="456601840">
      <w:bodyDiv w:val="1"/>
      <w:marLeft w:val="0"/>
      <w:marRight w:val="0"/>
      <w:marTop w:val="0"/>
      <w:marBottom w:val="0"/>
      <w:divBdr>
        <w:top w:val="none" w:sz="0" w:space="0" w:color="auto"/>
        <w:left w:val="none" w:sz="0" w:space="0" w:color="auto"/>
        <w:bottom w:val="none" w:sz="0" w:space="0" w:color="auto"/>
        <w:right w:val="none" w:sz="0" w:space="0" w:color="auto"/>
      </w:divBdr>
    </w:div>
    <w:div w:id="527528483">
      <w:bodyDiv w:val="1"/>
      <w:marLeft w:val="0"/>
      <w:marRight w:val="0"/>
      <w:marTop w:val="0"/>
      <w:marBottom w:val="0"/>
      <w:divBdr>
        <w:top w:val="none" w:sz="0" w:space="0" w:color="auto"/>
        <w:left w:val="none" w:sz="0" w:space="0" w:color="auto"/>
        <w:bottom w:val="none" w:sz="0" w:space="0" w:color="auto"/>
        <w:right w:val="none" w:sz="0" w:space="0" w:color="auto"/>
      </w:divBdr>
    </w:div>
    <w:div w:id="565920224">
      <w:bodyDiv w:val="1"/>
      <w:marLeft w:val="0"/>
      <w:marRight w:val="0"/>
      <w:marTop w:val="0"/>
      <w:marBottom w:val="0"/>
      <w:divBdr>
        <w:top w:val="none" w:sz="0" w:space="0" w:color="auto"/>
        <w:left w:val="none" w:sz="0" w:space="0" w:color="auto"/>
        <w:bottom w:val="none" w:sz="0" w:space="0" w:color="auto"/>
        <w:right w:val="none" w:sz="0" w:space="0" w:color="auto"/>
      </w:divBdr>
    </w:div>
    <w:div w:id="592469731">
      <w:bodyDiv w:val="1"/>
      <w:marLeft w:val="0"/>
      <w:marRight w:val="0"/>
      <w:marTop w:val="0"/>
      <w:marBottom w:val="0"/>
      <w:divBdr>
        <w:top w:val="none" w:sz="0" w:space="0" w:color="auto"/>
        <w:left w:val="none" w:sz="0" w:space="0" w:color="auto"/>
        <w:bottom w:val="none" w:sz="0" w:space="0" w:color="auto"/>
        <w:right w:val="none" w:sz="0" w:space="0" w:color="auto"/>
      </w:divBdr>
    </w:div>
    <w:div w:id="606425687">
      <w:bodyDiv w:val="1"/>
      <w:marLeft w:val="0"/>
      <w:marRight w:val="0"/>
      <w:marTop w:val="0"/>
      <w:marBottom w:val="0"/>
      <w:divBdr>
        <w:top w:val="none" w:sz="0" w:space="0" w:color="auto"/>
        <w:left w:val="none" w:sz="0" w:space="0" w:color="auto"/>
        <w:bottom w:val="none" w:sz="0" w:space="0" w:color="auto"/>
        <w:right w:val="none" w:sz="0" w:space="0" w:color="auto"/>
      </w:divBdr>
    </w:div>
    <w:div w:id="709693698">
      <w:bodyDiv w:val="1"/>
      <w:marLeft w:val="0"/>
      <w:marRight w:val="0"/>
      <w:marTop w:val="0"/>
      <w:marBottom w:val="0"/>
      <w:divBdr>
        <w:top w:val="none" w:sz="0" w:space="0" w:color="auto"/>
        <w:left w:val="none" w:sz="0" w:space="0" w:color="auto"/>
        <w:bottom w:val="none" w:sz="0" w:space="0" w:color="auto"/>
        <w:right w:val="none" w:sz="0" w:space="0" w:color="auto"/>
      </w:divBdr>
    </w:div>
    <w:div w:id="786120744">
      <w:bodyDiv w:val="1"/>
      <w:marLeft w:val="0"/>
      <w:marRight w:val="0"/>
      <w:marTop w:val="0"/>
      <w:marBottom w:val="0"/>
      <w:divBdr>
        <w:top w:val="none" w:sz="0" w:space="0" w:color="auto"/>
        <w:left w:val="none" w:sz="0" w:space="0" w:color="auto"/>
        <w:bottom w:val="none" w:sz="0" w:space="0" w:color="auto"/>
        <w:right w:val="none" w:sz="0" w:space="0" w:color="auto"/>
      </w:divBdr>
    </w:div>
    <w:div w:id="799107635">
      <w:bodyDiv w:val="1"/>
      <w:marLeft w:val="0"/>
      <w:marRight w:val="0"/>
      <w:marTop w:val="0"/>
      <w:marBottom w:val="0"/>
      <w:divBdr>
        <w:top w:val="none" w:sz="0" w:space="0" w:color="auto"/>
        <w:left w:val="none" w:sz="0" w:space="0" w:color="auto"/>
        <w:bottom w:val="none" w:sz="0" w:space="0" w:color="auto"/>
        <w:right w:val="none" w:sz="0" w:space="0" w:color="auto"/>
      </w:divBdr>
    </w:div>
    <w:div w:id="834683401">
      <w:bodyDiv w:val="1"/>
      <w:marLeft w:val="0"/>
      <w:marRight w:val="0"/>
      <w:marTop w:val="0"/>
      <w:marBottom w:val="0"/>
      <w:divBdr>
        <w:top w:val="none" w:sz="0" w:space="0" w:color="auto"/>
        <w:left w:val="none" w:sz="0" w:space="0" w:color="auto"/>
        <w:bottom w:val="none" w:sz="0" w:space="0" w:color="auto"/>
        <w:right w:val="none" w:sz="0" w:space="0" w:color="auto"/>
      </w:divBdr>
      <w:divsChild>
        <w:div w:id="538275148">
          <w:marLeft w:val="0"/>
          <w:marRight w:val="0"/>
          <w:marTop w:val="0"/>
          <w:marBottom w:val="225"/>
          <w:divBdr>
            <w:top w:val="none" w:sz="0" w:space="0" w:color="auto"/>
            <w:left w:val="none" w:sz="0" w:space="0" w:color="auto"/>
            <w:bottom w:val="none" w:sz="0" w:space="0" w:color="auto"/>
            <w:right w:val="none" w:sz="0" w:space="0" w:color="auto"/>
          </w:divBdr>
          <w:divsChild>
            <w:div w:id="318194653">
              <w:marLeft w:val="0"/>
              <w:marRight w:val="180"/>
              <w:marTop w:val="0"/>
              <w:marBottom w:val="0"/>
              <w:divBdr>
                <w:top w:val="none" w:sz="0" w:space="0" w:color="auto"/>
                <w:left w:val="none" w:sz="0" w:space="0" w:color="auto"/>
                <w:bottom w:val="none" w:sz="0" w:space="0" w:color="auto"/>
                <w:right w:val="none" w:sz="0" w:space="0" w:color="auto"/>
              </w:divBdr>
            </w:div>
          </w:divsChild>
        </w:div>
        <w:div w:id="1443575149">
          <w:marLeft w:val="0"/>
          <w:marRight w:val="0"/>
          <w:marTop w:val="0"/>
          <w:marBottom w:val="0"/>
          <w:divBdr>
            <w:top w:val="none" w:sz="0" w:space="0" w:color="auto"/>
            <w:left w:val="none" w:sz="0" w:space="0" w:color="auto"/>
            <w:bottom w:val="none" w:sz="0" w:space="0" w:color="auto"/>
            <w:right w:val="none" w:sz="0" w:space="0" w:color="auto"/>
          </w:divBdr>
          <w:divsChild>
            <w:div w:id="812722728">
              <w:marLeft w:val="0"/>
              <w:marRight w:val="0"/>
              <w:marTop w:val="0"/>
              <w:marBottom w:val="0"/>
              <w:divBdr>
                <w:top w:val="none" w:sz="0" w:space="0" w:color="auto"/>
                <w:left w:val="none" w:sz="0" w:space="0" w:color="auto"/>
                <w:bottom w:val="none" w:sz="0" w:space="0" w:color="auto"/>
                <w:right w:val="none" w:sz="0" w:space="0" w:color="auto"/>
              </w:divBdr>
              <w:divsChild>
                <w:div w:id="353918688">
                  <w:marLeft w:val="0"/>
                  <w:marRight w:val="0"/>
                  <w:marTop w:val="0"/>
                  <w:marBottom w:val="0"/>
                  <w:divBdr>
                    <w:top w:val="none" w:sz="0" w:space="0" w:color="auto"/>
                    <w:left w:val="none" w:sz="0" w:space="0" w:color="auto"/>
                    <w:bottom w:val="none" w:sz="0" w:space="0" w:color="auto"/>
                    <w:right w:val="none" w:sz="0" w:space="0" w:color="auto"/>
                  </w:divBdr>
                </w:div>
                <w:div w:id="1551916104">
                  <w:marLeft w:val="0"/>
                  <w:marRight w:val="0"/>
                  <w:marTop w:val="0"/>
                  <w:marBottom w:val="0"/>
                  <w:divBdr>
                    <w:top w:val="none" w:sz="0" w:space="0" w:color="auto"/>
                    <w:left w:val="none" w:sz="0" w:space="0" w:color="auto"/>
                    <w:bottom w:val="none" w:sz="0" w:space="0" w:color="auto"/>
                    <w:right w:val="none" w:sz="0" w:space="0" w:color="auto"/>
                  </w:divBdr>
                </w:div>
                <w:div w:id="1461143856">
                  <w:marLeft w:val="0"/>
                  <w:marRight w:val="0"/>
                  <w:marTop w:val="0"/>
                  <w:marBottom w:val="0"/>
                  <w:divBdr>
                    <w:top w:val="none" w:sz="0" w:space="0" w:color="auto"/>
                    <w:left w:val="none" w:sz="0" w:space="0" w:color="auto"/>
                    <w:bottom w:val="none" w:sz="0" w:space="0" w:color="auto"/>
                    <w:right w:val="none" w:sz="0" w:space="0" w:color="auto"/>
                  </w:divBdr>
                </w:div>
                <w:div w:id="1472674134">
                  <w:marLeft w:val="0"/>
                  <w:marRight w:val="0"/>
                  <w:marTop w:val="0"/>
                  <w:marBottom w:val="0"/>
                  <w:divBdr>
                    <w:top w:val="none" w:sz="0" w:space="0" w:color="auto"/>
                    <w:left w:val="none" w:sz="0" w:space="0" w:color="auto"/>
                    <w:bottom w:val="none" w:sz="0" w:space="0" w:color="auto"/>
                    <w:right w:val="none" w:sz="0" w:space="0" w:color="auto"/>
                  </w:divBdr>
                </w:div>
                <w:div w:id="655380851">
                  <w:marLeft w:val="0"/>
                  <w:marRight w:val="0"/>
                  <w:marTop w:val="0"/>
                  <w:marBottom w:val="0"/>
                  <w:divBdr>
                    <w:top w:val="none" w:sz="0" w:space="0" w:color="auto"/>
                    <w:left w:val="none" w:sz="0" w:space="0" w:color="auto"/>
                    <w:bottom w:val="none" w:sz="0" w:space="0" w:color="auto"/>
                    <w:right w:val="none" w:sz="0" w:space="0" w:color="auto"/>
                  </w:divBdr>
                </w:div>
                <w:div w:id="1065957090">
                  <w:marLeft w:val="0"/>
                  <w:marRight w:val="0"/>
                  <w:marTop w:val="0"/>
                  <w:marBottom w:val="0"/>
                  <w:divBdr>
                    <w:top w:val="none" w:sz="0" w:space="0" w:color="auto"/>
                    <w:left w:val="none" w:sz="0" w:space="0" w:color="auto"/>
                    <w:bottom w:val="none" w:sz="0" w:space="0" w:color="auto"/>
                    <w:right w:val="none" w:sz="0" w:space="0" w:color="auto"/>
                  </w:divBdr>
                </w:div>
                <w:div w:id="323633319">
                  <w:marLeft w:val="0"/>
                  <w:marRight w:val="0"/>
                  <w:marTop w:val="0"/>
                  <w:marBottom w:val="0"/>
                  <w:divBdr>
                    <w:top w:val="none" w:sz="0" w:space="0" w:color="auto"/>
                    <w:left w:val="none" w:sz="0" w:space="0" w:color="auto"/>
                    <w:bottom w:val="none" w:sz="0" w:space="0" w:color="auto"/>
                    <w:right w:val="none" w:sz="0" w:space="0" w:color="auto"/>
                  </w:divBdr>
                </w:div>
                <w:div w:id="1774737545">
                  <w:marLeft w:val="0"/>
                  <w:marRight w:val="0"/>
                  <w:marTop w:val="0"/>
                  <w:marBottom w:val="0"/>
                  <w:divBdr>
                    <w:top w:val="none" w:sz="0" w:space="0" w:color="auto"/>
                    <w:left w:val="none" w:sz="0" w:space="0" w:color="auto"/>
                    <w:bottom w:val="none" w:sz="0" w:space="0" w:color="auto"/>
                    <w:right w:val="none" w:sz="0" w:space="0" w:color="auto"/>
                  </w:divBdr>
                </w:div>
                <w:div w:id="354427618">
                  <w:marLeft w:val="0"/>
                  <w:marRight w:val="0"/>
                  <w:marTop w:val="0"/>
                  <w:marBottom w:val="0"/>
                  <w:divBdr>
                    <w:top w:val="none" w:sz="0" w:space="0" w:color="auto"/>
                    <w:left w:val="none" w:sz="0" w:space="0" w:color="auto"/>
                    <w:bottom w:val="none" w:sz="0" w:space="0" w:color="auto"/>
                    <w:right w:val="none" w:sz="0" w:space="0" w:color="auto"/>
                  </w:divBdr>
                </w:div>
                <w:div w:id="1243762036">
                  <w:marLeft w:val="0"/>
                  <w:marRight w:val="0"/>
                  <w:marTop w:val="0"/>
                  <w:marBottom w:val="0"/>
                  <w:divBdr>
                    <w:top w:val="none" w:sz="0" w:space="0" w:color="auto"/>
                    <w:left w:val="none" w:sz="0" w:space="0" w:color="auto"/>
                    <w:bottom w:val="none" w:sz="0" w:space="0" w:color="auto"/>
                    <w:right w:val="none" w:sz="0" w:space="0" w:color="auto"/>
                  </w:divBdr>
                </w:div>
                <w:div w:id="2008164513">
                  <w:marLeft w:val="0"/>
                  <w:marRight w:val="0"/>
                  <w:marTop w:val="0"/>
                  <w:marBottom w:val="0"/>
                  <w:divBdr>
                    <w:top w:val="none" w:sz="0" w:space="0" w:color="auto"/>
                    <w:left w:val="none" w:sz="0" w:space="0" w:color="auto"/>
                    <w:bottom w:val="none" w:sz="0" w:space="0" w:color="auto"/>
                    <w:right w:val="none" w:sz="0" w:space="0" w:color="auto"/>
                  </w:divBdr>
                </w:div>
                <w:div w:id="987591020">
                  <w:marLeft w:val="0"/>
                  <w:marRight w:val="0"/>
                  <w:marTop w:val="0"/>
                  <w:marBottom w:val="0"/>
                  <w:divBdr>
                    <w:top w:val="none" w:sz="0" w:space="0" w:color="auto"/>
                    <w:left w:val="none" w:sz="0" w:space="0" w:color="auto"/>
                    <w:bottom w:val="none" w:sz="0" w:space="0" w:color="auto"/>
                    <w:right w:val="none" w:sz="0" w:space="0" w:color="auto"/>
                  </w:divBdr>
                </w:div>
                <w:div w:id="1679888202">
                  <w:marLeft w:val="0"/>
                  <w:marRight w:val="0"/>
                  <w:marTop w:val="0"/>
                  <w:marBottom w:val="0"/>
                  <w:divBdr>
                    <w:top w:val="none" w:sz="0" w:space="0" w:color="auto"/>
                    <w:left w:val="none" w:sz="0" w:space="0" w:color="auto"/>
                    <w:bottom w:val="none" w:sz="0" w:space="0" w:color="auto"/>
                    <w:right w:val="none" w:sz="0" w:space="0" w:color="auto"/>
                  </w:divBdr>
                </w:div>
                <w:div w:id="1649630193">
                  <w:marLeft w:val="0"/>
                  <w:marRight w:val="0"/>
                  <w:marTop w:val="0"/>
                  <w:marBottom w:val="0"/>
                  <w:divBdr>
                    <w:top w:val="none" w:sz="0" w:space="0" w:color="auto"/>
                    <w:left w:val="none" w:sz="0" w:space="0" w:color="auto"/>
                    <w:bottom w:val="none" w:sz="0" w:space="0" w:color="auto"/>
                    <w:right w:val="none" w:sz="0" w:space="0" w:color="auto"/>
                  </w:divBdr>
                </w:div>
                <w:div w:id="1288975823">
                  <w:marLeft w:val="0"/>
                  <w:marRight w:val="0"/>
                  <w:marTop w:val="0"/>
                  <w:marBottom w:val="0"/>
                  <w:divBdr>
                    <w:top w:val="none" w:sz="0" w:space="0" w:color="auto"/>
                    <w:left w:val="none" w:sz="0" w:space="0" w:color="auto"/>
                    <w:bottom w:val="none" w:sz="0" w:space="0" w:color="auto"/>
                    <w:right w:val="none" w:sz="0" w:space="0" w:color="auto"/>
                  </w:divBdr>
                </w:div>
                <w:div w:id="1475953805">
                  <w:marLeft w:val="0"/>
                  <w:marRight w:val="0"/>
                  <w:marTop w:val="0"/>
                  <w:marBottom w:val="0"/>
                  <w:divBdr>
                    <w:top w:val="none" w:sz="0" w:space="0" w:color="auto"/>
                    <w:left w:val="none" w:sz="0" w:space="0" w:color="auto"/>
                    <w:bottom w:val="none" w:sz="0" w:space="0" w:color="auto"/>
                    <w:right w:val="none" w:sz="0" w:space="0" w:color="auto"/>
                  </w:divBdr>
                </w:div>
                <w:div w:id="1841970231">
                  <w:marLeft w:val="0"/>
                  <w:marRight w:val="0"/>
                  <w:marTop w:val="0"/>
                  <w:marBottom w:val="0"/>
                  <w:divBdr>
                    <w:top w:val="none" w:sz="0" w:space="0" w:color="auto"/>
                    <w:left w:val="none" w:sz="0" w:space="0" w:color="auto"/>
                    <w:bottom w:val="none" w:sz="0" w:space="0" w:color="auto"/>
                    <w:right w:val="none" w:sz="0" w:space="0" w:color="auto"/>
                  </w:divBdr>
                </w:div>
                <w:div w:id="599606171">
                  <w:marLeft w:val="0"/>
                  <w:marRight w:val="0"/>
                  <w:marTop w:val="0"/>
                  <w:marBottom w:val="0"/>
                  <w:divBdr>
                    <w:top w:val="none" w:sz="0" w:space="0" w:color="auto"/>
                    <w:left w:val="none" w:sz="0" w:space="0" w:color="auto"/>
                    <w:bottom w:val="none" w:sz="0" w:space="0" w:color="auto"/>
                    <w:right w:val="none" w:sz="0" w:space="0" w:color="auto"/>
                  </w:divBdr>
                </w:div>
                <w:div w:id="600918371">
                  <w:marLeft w:val="0"/>
                  <w:marRight w:val="0"/>
                  <w:marTop w:val="0"/>
                  <w:marBottom w:val="0"/>
                  <w:divBdr>
                    <w:top w:val="none" w:sz="0" w:space="0" w:color="auto"/>
                    <w:left w:val="none" w:sz="0" w:space="0" w:color="auto"/>
                    <w:bottom w:val="none" w:sz="0" w:space="0" w:color="auto"/>
                    <w:right w:val="none" w:sz="0" w:space="0" w:color="auto"/>
                  </w:divBdr>
                </w:div>
                <w:div w:id="1775007193">
                  <w:marLeft w:val="0"/>
                  <w:marRight w:val="0"/>
                  <w:marTop w:val="0"/>
                  <w:marBottom w:val="0"/>
                  <w:divBdr>
                    <w:top w:val="none" w:sz="0" w:space="0" w:color="auto"/>
                    <w:left w:val="none" w:sz="0" w:space="0" w:color="auto"/>
                    <w:bottom w:val="none" w:sz="0" w:space="0" w:color="auto"/>
                    <w:right w:val="none" w:sz="0" w:space="0" w:color="auto"/>
                  </w:divBdr>
                </w:div>
                <w:div w:id="983198881">
                  <w:marLeft w:val="0"/>
                  <w:marRight w:val="0"/>
                  <w:marTop w:val="0"/>
                  <w:marBottom w:val="0"/>
                  <w:divBdr>
                    <w:top w:val="none" w:sz="0" w:space="0" w:color="auto"/>
                    <w:left w:val="none" w:sz="0" w:space="0" w:color="auto"/>
                    <w:bottom w:val="none" w:sz="0" w:space="0" w:color="auto"/>
                    <w:right w:val="none" w:sz="0" w:space="0" w:color="auto"/>
                  </w:divBdr>
                </w:div>
                <w:div w:id="2132169507">
                  <w:marLeft w:val="0"/>
                  <w:marRight w:val="0"/>
                  <w:marTop w:val="0"/>
                  <w:marBottom w:val="0"/>
                  <w:divBdr>
                    <w:top w:val="none" w:sz="0" w:space="0" w:color="auto"/>
                    <w:left w:val="none" w:sz="0" w:space="0" w:color="auto"/>
                    <w:bottom w:val="none" w:sz="0" w:space="0" w:color="auto"/>
                    <w:right w:val="none" w:sz="0" w:space="0" w:color="auto"/>
                  </w:divBdr>
                </w:div>
                <w:div w:id="223223855">
                  <w:marLeft w:val="0"/>
                  <w:marRight w:val="0"/>
                  <w:marTop w:val="0"/>
                  <w:marBottom w:val="0"/>
                  <w:divBdr>
                    <w:top w:val="none" w:sz="0" w:space="0" w:color="auto"/>
                    <w:left w:val="none" w:sz="0" w:space="0" w:color="auto"/>
                    <w:bottom w:val="none" w:sz="0" w:space="0" w:color="auto"/>
                    <w:right w:val="none" w:sz="0" w:space="0" w:color="auto"/>
                  </w:divBdr>
                </w:div>
                <w:div w:id="1123233097">
                  <w:marLeft w:val="0"/>
                  <w:marRight w:val="0"/>
                  <w:marTop w:val="0"/>
                  <w:marBottom w:val="0"/>
                  <w:divBdr>
                    <w:top w:val="none" w:sz="0" w:space="0" w:color="auto"/>
                    <w:left w:val="none" w:sz="0" w:space="0" w:color="auto"/>
                    <w:bottom w:val="none" w:sz="0" w:space="0" w:color="auto"/>
                    <w:right w:val="none" w:sz="0" w:space="0" w:color="auto"/>
                  </w:divBdr>
                </w:div>
                <w:div w:id="1384408373">
                  <w:marLeft w:val="0"/>
                  <w:marRight w:val="0"/>
                  <w:marTop w:val="0"/>
                  <w:marBottom w:val="0"/>
                  <w:divBdr>
                    <w:top w:val="none" w:sz="0" w:space="0" w:color="auto"/>
                    <w:left w:val="none" w:sz="0" w:space="0" w:color="auto"/>
                    <w:bottom w:val="none" w:sz="0" w:space="0" w:color="auto"/>
                    <w:right w:val="none" w:sz="0" w:space="0" w:color="auto"/>
                  </w:divBdr>
                </w:div>
                <w:div w:id="1115098172">
                  <w:marLeft w:val="0"/>
                  <w:marRight w:val="0"/>
                  <w:marTop w:val="0"/>
                  <w:marBottom w:val="0"/>
                  <w:divBdr>
                    <w:top w:val="none" w:sz="0" w:space="0" w:color="auto"/>
                    <w:left w:val="none" w:sz="0" w:space="0" w:color="auto"/>
                    <w:bottom w:val="none" w:sz="0" w:space="0" w:color="auto"/>
                    <w:right w:val="none" w:sz="0" w:space="0" w:color="auto"/>
                  </w:divBdr>
                </w:div>
                <w:div w:id="1506942009">
                  <w:marLeft w:val="0"/>
                  <w:marRight w:val="0"/>
                  <w:marTop w:val="0"/>
                  <w:marBottom w:val="0"/>
                  <w:divBdr>
                    <w:top w:val="none" w:sz="0" w:space="0" w:color="auto"/>
                    <w:left w:val="none" w:sz="0" w:space="0" w:color="auto"/>
                    <w:bottom w:val="none" w:sz="0" w:space="0" w:color="auto"/>
                    <w:right w:val="none" w:sz="0" w:space="0" w:color="auto"/>
                  </w:divBdr>
                </w:div>
                <w:div w:id="1011444751">
                  <w:marLeft w:val="0"/>
                  <w:marRight w:val="0"/>
                  <w:marTop w:val="0"/>
                  <w:marBottom w:val="0"/>
                  <w:divBdr>
                    <w:top w:val="none" w:sz="0" w:space="0" w:color="auto"/>
                    <w:left w:val="none" w:sz="0" w:space="0" w:color="auto"/>
                    <w:bottom w:val="none" w:sz="0" w:space="0" w:color="auto"/>
                    <w:right w:val="none" w:sz="0" w:space="0" w:color="auto"/>
                  </w:divBdr>
                </w:div>
                <w:div w:id="530189853">
                  <w:marLeft w:val="0"/>
                  <w:marRight w:val="0"/>
                  <w:marTop w:val="0"/>
                  <w:marBottom w:val="0"/>
                  <w:divBdr>
                    <w:top w:val="none" w:sz="0" w:space="0" w:color="auto"/>
                    <w:left w:val="none" w:sz="0" w:space="0" w:color="auto"/>
                    <w:bottom w:val="none" w:sz="0" w:space="0" w:color="auto"/>
                    <w:right w:val="none" w:sz="0" w:space="0" w:color="auto"/>
                  </w:divBdr>
                </w:div>
                <w:div w:id="1844316762">
                  <w:marLeft w:val="0"/>
                  <w:marRight w:val="0"/>
                  <w:marTop w:val="0"/>
                  <w:marBottom w:val="0"/>
                  <w:divBdr>
                    <w:top w:val="none" w:sz="0" w:space="0" w:color="auto"/>
                    <w:left w:val="none" w:sz="0" w:space="0" w:color="auto"/>
                    <w:bottom w:val="none" w:sz="0" w:space="0" w:color="auto"/>
                    <w:right w:val="none" w:sz="0" w:space="0" w:color="auto"/>
                  </w:divBdr>
                </w:div>
                <w:div w:id="526257978">
                  <w:marLeft w:val="0"/>
                  <w:marRight w:val="0"/>
                  <w:marTop w:val="0"/>
                  <w:marBottom w:val="0"/>
                  <w:divBdr>
                    <w:top w:val="none" w:sz="0" w:space="0" w:color="auto"/>
                    <w:left w:val="none" w:sz="0" w:space="0" w:color="auto"/>
                    <w:bottom w:val="none" w:sz="0" w:space="0" w:color="auto"/>
                    <w:right w:val="none" w:sz="0" w:space="0" w:color="auto"/>
                  </w:divBdr>
                </w:div>
                <w:div w:id="604190485">
                  <w:marLeft w:val="0"/>
                  <w:marRight w:val="0"/>
                  <w:marTop w:val="0"/>
                  <w:marBottom w:val="0"/>
                  <w:divBdr>
                    <w:top w:val="none" w:sz="0" w:space="0" w:color="auto"/>
                    <w:left w:val="none" w:sz="0" w:space="0" w:color="auto"/>
                    <w:bottom w:val="none" w:sz="0" w:space="0" w:color="auto"/>
                    <w:right w:val="none" w:sz="0" w:space="0" w:color="auto"/>
                  </w:divBdr>
                </w:div>
                <w:div w:id="1051538912">
                  <w:marLeft w:val="0"/>
                  <w:marRight w:val="0"/>
                  <w:marTop w:val="0"/>
                  <w:marBottom w:val="0"/>
                  <w:divBdr>
                    <w:top w:val="none" w:sz="0" w:space="0" w:color="auto"/>
                    <w:left w:val="none" w:sz="0" w:space="0" w:color="auto"/>
                    <w:bottom w:val="none" w:sz="0" w:space="0" w:color="auto"/>
                    <w:right w:val="none" w:sz="0" w:space="0" w:color="auto"/>
                  </w:divBdr>
                </w:div>
                <w:div w:id="1659385770">
                  <w:marLeft w:val="0"/>
                  <w:marRight w:val="0"/>
                  <w:marTop w:val="0"/>
                  <w:marBottom w:val="0"/>
                  <w:divBdr>
                    <w:top w:val="none" w:sz="0" w:space="0" w:color="auto"/>
                    <w:left w:val="none" w:sz="0" w:space="0" w:color="auto"/>
                    <w:bottom w:val="none" w:sz="0" w:space="0" w:color="auto"/>
                    <w:right w:val="none" w:sz="0" w:space="0" w:color="auto"/>
                  </w:divBdr>
                </w:div>
                <w:div w:id="531571651">
                  <w:marLeft w:val="0"/>
                  <w:marRight w:val="0"/>
                  <w:marTop w:val="0"/>
                  <w:marBottom w:val="0"/>
                  <w:divBdr>
                    <w:top w:val="none" w:sz="0" w:space="0" w:color="auto"/>
                    <w:left w:val="none" w:sz="0" w:space="0" w:color="auto"/>
                    <w:bottom w:val="none" w:sz="0" w:space="0" w:color="auto"/>
                    <w:right w:val="none" w:sz="0" w:space="0" w:color="auto"/>
                  </w:divBdr>
                </w:div>
                <w:div w:id="100230263">
                  <w:marLeft w:val="0"/>
                  <w:marRight w:val="0"/>
                  <w:marTop w:val="0"/>
                  <w:marBottom w:val="0"/>
                  <w:divBdr>
                    <w:top w:val="none" w:sz="0" w:space="0" w:color="auto"/>
                    <w:left w:val="none" w:sz="0" w:space="0" w:color="auto"/>
                    <w:bottom w:val="none" w:sz="0" w:space="0" w:color="auto"/>
                    <w:right w:val="none" w:sz="0" w:space="0" w:color="auto"/>
                  </w:divBdr>
                </w:div>
                <w:div w:id="1044644791">
                  <w:marLeft w:val="0"/>
                  <w:marRight w:val="0"/>
                  <w:marTop w:val="0"/>
                  <w:marBottom w:val="0"/>
                  <w:divBdr>
                    <w:top w:val="none" w:sz="0" w:space="0" w:color="auto"/>
                    <w:left w:val="none" w:sz="0" w:space="0" w:color="auto"/>
                    <w:bottom w:val="none" w:sz="0" w:space="0" w:color="auto"/>
                    <w:right w:val="none" w:sz="0" w:space="0" w:color="auto"/>
                  </w:divBdr>
                </w:div>
                <w:div w:id="2111244301">
                  <w:marLeft w:val="0"/>
                  <w:marRight w:val="0"/>
                  <w:marTop w:val="0"/>
                  <w:marBottom w:val="0"/>
                  <w:divBdr>
                    <w:top w:val="none" w:sz="0" w:space="0" w:color="auto"/>
                    <w:left w:val="none" w:sz="0" w:space="0" w:color="auto"/>
                    <w:bottom w:val="none" w:sz="0" w:space="0" w:color="auto"/>
                    <w:right w:val="none" w:sz="0" w:space="0" w:color="auto"/>
                  </w:divBdr>
                </w:div>
                <w:div w:id="1688288135">
                  <w:marLeft w:val="0"/>
                  <w:marRight w:val="0"/>
                  <w:marTop w:val="0"/>
                  <w:marBottom w:val="0"/>
                  <w:divBdr>
                    <w:top w:val="none" w:sz="0" w:space="0" w:color="auto"/>
                    <w:left w:val="none" w:sz="0" w:space="0" w:color="auto"/>
                    <w:bottom w:val="none" w:sz="0" w:space="0" w:color="auto"/>
                    <w:right w:val="none" w:sz="0" w:space="0" w:color="auto"/>
                  </w:divBdr>
                </w:div>
                <w:div w:id="1176724692">
                  <w:marLeft w:val="0"/>
                  <w:marRight w:val="0"/>
                  <w:marTop w:val="0"/>
                  <w:marBottom w:val="0"/>
                  <w:divBdr>
                    <w:top w:val="none" w:sz="0" w:space="0" w:color="auto"/>
                    <w:left w:val="none" w:sz="0" w:space="0" w:color="auto"/>
                    <w:bottom w:val="none" w:sz="0" w:space="0" w:color="auto"/>
                    <w:right w:val="none" w:sz="0" w:space="0" w:color="auto"/>
                  </w:divBdr>
                </w:div>
                <w:div w:id="1011569359">
                  <w:marLeft w:val="0"/>
                  <w:marRight w:val="0"/>
                  <w:marTop w:val="0"/>
                  <w:marBottom w:val="0"/>
                  <w:divBdr>
                    <w:top w:val="none" w:sz="0" w:space="0" w:color="auto"/>
                    <w:left w:val="none" w:sz="0" w:space="0" w:color="auto"/>
                    <w:bottom w:val="none" w:sz="0" w:space="0" w:color="auto"/>
                    <w:right w:val="none" w:sz="0" w:space="0" w:color="auto"/>
                  </w:divBdr>
                </w:div>
                <w:div w:id="1830245329">
                  <w:marLeft w:val="0"/>
                  <w:marRight w:val="0"/>
                  <w:marTop w:val="0"/>
                  <w:marBottom w:val="0"/>
                  <w:divBdr>
                    <w:top w:val="none" w:sz="0" w:space="0" w:color="auto"/>
                    <w:left w:val="none" w:sz="0" w:space="0" w:color="auto"/>
                    <w:bottom w:val="none" w:sz="0" w:space="0" w:color="auto"/>
                    <w:right w:val="none" w:sz="0" w:space="0" w:color="auto"/>
                  </w:divBdr>
                </w:div>
                <w:div w:id="348799340">
                  <w:marLeft w:val="0"/>
                  <w:marRight w:val="0"/>
                  <w:marTop w:val="0"/>
                  <w:marBottom w:val="0"/>
                  <w:divBdr>
                    <w:top w:val="none" w:sz="0" w:space="0" w:color="auto"/>
                    <w:left w:val="none" w:sz="0" w:space="0" w:color="auto"/>
                    <w:bottom w:val="none" w:sz="0" w:space="0" w:color="auto"/>
                    <w:right w:val="none" w:sz="0" w:space="0" w:color="auto"/>
                  </w:divBdr>
                </w:div>
                <w:div w:id="1926912686">
                  <w:marLeft w:val="0"/>
                  <w:marRight w:val="0"/>
                  <w:marTop w:val="0"/>
                  <w:marBottom w:val="0"/>
                  <w:divBdr>
                    <w:top w:val="none" w:sz="0" w:space="0" w:color="auto"/>
                    <w:left w:val="none" w:sz="0" w:space="0" w:color="auto"/>
                    <w:bottom w:val="none" w:sz="0" w:space="0" w:color="auto"/>
                    <w:right w:val="none" w:sz="0" w:space="0" w:color="auto"/>
                  </w:divBdr>
                </w:div>
                <w:div w:id="1474442706">
                  <w:marLeft w:val="0"/>
                  <w:marRight w:val="0"/>
                  <w:marTop w:val="0"/>
                  <w:marBottom w:val="0"/>
                  <w:divBdr>
                    <w:top w:val="none" w:sz="0" w:space="0" w:color="auto"/>
                    <w:left w:val="none" w:sz="0" w:space="0" w:color="auto"/>
                    <w:bottom w:val="none" w:sz="0" w:space="0" w:color="auto"/>
                    <w:right w:val="none" w:sz="0" w:space="0" w:color="auto"/>
                  </w:divBdr>
                </w:div>
                <w:div w:id="1323653729">
                  <w:marLeft w:val="0"/>
                  <w:marRight w:val="0"/>
                  <w:marTop w:val="0"/>
                  <w:marBottom w:val="0"/>
                  <w:divBdr>
                    <w:top w:val="none" w:sz="0" w:space="0" w:color="auto"/>
                    <w:left w:val="none" w:sz="0" w:space="0" w:color="auto"/>
                    <w:bottom w:val="none" w:sz="0" w:space="0" w:color="auto"/>
                    <w:right w:val="none" w:sz="0" w:space="0" w:color="auto"/>
                  </w:divBdr>
                </w:div>
                <w:div w:id="1328243084">
                  <w:marLeft w:val="0"/>
                  <w:marRight w:val="0"/>
                  <w:marTop w:val="0"/>
                  <w:marBottom w:val="0"/>
                  <w:divBdr>
                    <w:top w:val="none" w:sz="0" w:space="0" w:color="auto"/>
                    <w:left w:val="none" w:sz="0" w:space="0" w:color="auto"/>
                    <w:bottom w:val="none" w:sz="0" w:space="0" w:color="auto"/>
                    <w:right w:val="none" w:sz="0" w:space="0" w:color="auto"/>
                  </w:divBdr>
                </w:div>
                <w:div w:id="1763066388">
                  <w:marLeft w:val="0"/>
                  <w:marRight w:val="0"/>
                  <w:marTop w:val="0"/>
                  <w:marBottom w:val="0"/>
                  <w:divBdr>
                    <w:top w:val="none" w:sz="0" w:space="0" w:color="auto"/>
                    <w:left w:val="none" w:sz="0" w:space="0" w:color="auto"/>
                    <w:bottom w:val="none" w:sz="0" w:space="0" w:color="auto"/>
                    <w:right w:val="none" w:sz="0" w:space="0" w:color="auto"/>
                  </w:divBdr>
                </w:div>
                <w:div w:id="634525643">
                  <w:marLeft w:val="0"/>
                  <w:marRight w:val="0"/>
                  <w:marTop w:val="0"/>
                  <w:marBottom w:val="0"/>
                  <w:divBdr>
                    <w:top w:val="none" w:sz="0" w:space="0" w:color="auto"/>
                    <w:left w:val="none" w:sz="0" w:space="0" w:color="auto"/>
                    <w:bottom w:val="none" w:sz="0" w:space="0" w:color="auto"/>
                    <w:right w:val="none" w:sz="0" w:space="0" w:color="auto"/>
                  </w:divBdr>
                </w:div>
                <w:div w:id="1674603335">
                  <w:marLeft w:val="0"/>
                  <w:marRight w:val="0"/>
                  <w:marTop w:val="0"/>
                  <w:marBottom w:val="0"/>
                  <w:divBdr>
                    <w:top w:val="none" w:sz="0" w:space="0" w:color="auto"/>
                    <w:left w:val="none" w:sz="0" w:space="0" w:color="auto"/>
                    <w:bottom w:val="none" w:sz="0" w:space="0" w:color="auto"/>
                    <w:right w:val="none" w:sz="0" w:space="0" w:color="auto"/>
                  </w:divBdr>
                </w:div>
                <w:div w:id="626014642">
                  <w:marLeft w:val="0"/>
                  <w:marRight w:val="0"/>
                  <w:marTop w:val="0"/>
                  <w:marBottom w:val="0"/>
                  <w:divBdr>
                    <w:top w:val="none" w:sz="0" w:space="0" w:color="auto"/>
                    <w:left w:val="none" w:sz="0" w:space="0" w:color="auto"/>
                    <w:bottom w:val="none" w:sz="0" w:space="0" w:color="auto"/>
                    <w:right w:val="none" w:sz="0" w:space="0" w:color="auto"/>
                  </w:divBdr>
                </w:div>
                <w:div w:id="153644027">
                  <w:marLeft w:val="0"/>
                  <w:marRight w:val="0"/>
                  <w:marTop w:val="0"/>
                  <w:marBottom w:val="0"/>
                  <w:divBdr>
                    <w:top w:val="none" w:sz="0" w:space="0" w:color="auto"/>
                    <w:left w:val="none" w:sz="0" w:space="0" w:color="auto"/>
                    <w:bottom w:val="none" w:sz="0" w:space="0" w:color="auto"/>
                    <w:right w:val="none" w:sz="0" w:space="0" w:color="auto"/>
                  </w:divBdr>
                </w:div>
                <w:div w:id="930283971">
                  <w:marLeft w:val="0"/>
                  <w:marRight w:val="0"/>
                  <w:marTop w:val="0"/>
                  <w:marBottom w:val="0"/>
                  <w:divBdr>
                    <w:top w:val="none" w:sz="0" w:space="0" w:color="auto"/>
                    <w:left w:val="none" w:sz="0" w:space="0" w:color="auto"/>
                    <w:bottom w:val="none" w:sz="0" w:space="0" w:color="auto"/>
                    <w:right w:val="none" w:sz="0" w:space="0" w:color="auto"/>
                  </w:divBdr>
                </w:div>
                <w:div w:id="207571284">
                  <w:marLeft w:val="0"/>
                  <w:marRight w:val="0"/>
                  <w:marTop w:val="0"/>
                  <w:marBottom w:val="0"/>
                  <w:divBdr>
                    <w:top w:val="none" w:sz="0" w:space="0" w:color="auto"/>
                    <w:left w:val="none" w:sz="0" w:space="0" w:color="auto"/>
                    <w:bottom w:val="none" w:sz="0" w:space="0" w:color="auto"/>
                    <w:right w:val="none" w:sz="0" w:space="0" w:color="auto"/>
                  </w:divBdr>
                </w:div>
                <w:div w:id="650868723">
                  <w:marLeft w:val="0"/>
                  <w:marRight w:val="0"/>
                  <w:marTop w:val="0"/>
                  <w:marBottom w:val="0"/>
                  <w:divBdr>
                    <w:top w:val="none" w:sz="0" w:space="0" w:color="auto"/>
                    <w:left w:val="none" w:sz="0" w:space="0" w:color="auto"/>
                    <w:bottom w:val="none" w:sz="0" w:space="0" w:color="auto"/>
                    <w:right w:val="none" w:sz="0" w:space="0" w:color="auto"/>
                  </w:divBdr>
                </w:div>
                <w:div w:id="1234240653">
                  <w:marLeft w:val="0"/>
                  <w:marRight w:val="0"/>
                  <w:marTop w:val="0"/>
                  <w:marBottom w:val="0"/>
                  <w:divBdr>
                    <w:top w:val="none" w:sz="0" w:space="0" w:color="auto"/>
                    <w:left w:val="none" w:sz="0" w:space="0" w:color="auto"/>
                    <w:bottom w:val="none" w:sz="0" w:space="0" w:color="auto"/>
                    <w:right w:val="none" w:sz="0" w:space="0" w:color="auto"/>
                  </w:divBdr>
                </w:div>
                <w:div w:id="811486316">
                  <w:marLeft w:val="0"/>
                  <w:marRight w:val="0"/>
                  <w:marTop w:val="0"/>
                  <w:marBottom w:val="0"/>
                  <w:divBdr>
                    <w:top w:val="none" w:sz="0" w:space="0" w:color="auto"/>
                    <w:left w:val="none" w:sz="0" w:space="0" w:color="auto"/>
                    <w:bottom w:val="none" w:sz="0" w:space="0" w:color="auto"/>
                    <w:right w:val="none" w:sz="0" w:space="0" w:color="auto"/>
                  </w:divBdr>
                </w:div>
                <w:div w:id="1471023067">
                  <w:marLeft w:val="0"/>
                  <w:marRight w:val="0"/>
                  <w:marTop w:val="0"/>
                  <w:marBottom w:val="0"/>
                  <w:divBdr>
                    <w:top w:val="none" w:sz="0" w:space="0" w:color="auto"/>
                    <w:left w:val="none" w:sz="0" w:space="0" w:color="auto"/>
                    <w:bottom w:val="none" w:sz="0" w:space="0" w:color="auto"/>
                    <w:right w:val="none" w:sz="0" w:space="0" w:color="auto"/>
                  </w:divBdr>
                </w:div>
                <w:div w:id="1632250154">
                  <w:marLeft w:val="0"/>
                  <w:marRight w:val="0"/>
                  <w:marTop w:val="0"/>
                  <w:marBottom w:val="0"/>
                  <w:divBdr>
                    <w:top w:val="none" w:sz="0" w:space="0" w:color="auto"/>
                    <w:left w:val="none" w:sz="0" w:space="0" w:color="auto"/>
                    <w:bottom w:val="none" w:sz="0" w:space="0" w:color="auto"/>
                    <w:right w:val="none" w:sz="0" w:space="0" w:color="auto"/>
                  </w:divBdr>
                </w:div>
                <w:div w:id="1395541820">
                  <w:marLeft w:val="0"/>
                  <w:marRight w:val="0"/>
                  <w:marTop w:val="0"/>
                  <w:marBottom w:val="0"/>
                  <w:divBdr>
                    <w:top w:val="none" w:sz="0" w:space="0" w:color="auto"/>
                    <w:left w:val="none" w:sz="0" w:space="0" w:color="auto"/>
                    <w:bottom w:val="none" w:sz="0" w:space="0" w:color="auto"/>
                    <w:right w:val="none" w:sz="0" w:space="0" w:color="auto"/>
                  </w:divBdr>
                </w:div>
                <w:div w:id="1608390198">
                  <w:marLeft w:val="0"/>
                  <w:marRight w:val="0"/>
                  <w:marTop w:val="0"/>
                  <w:marBottom w:val="0"/>
                  <w:divBdr>
                    <w:top w:val="none" w:sz="0" w:space="0" w:color="auto"/>
                    <w:left w:val="none" w:sz="0" w:space="0" w:color="auto"/>
                    <w:bottom w:val="none" w:sz="0" w:space="0" w:color="auto"/>
                    <w:right w:val="none" w:sz="0" w:space="0" w:color="auto"/>
                  </w:divBdr>
                </w:div>
                <w:div w:id="468741756">
                  <w:marLeft w:val="0"/>
                  <w:marRight w:val="0"/>
                  <w:marTop w:val="0"/>
                  <w:marBottom w:val="0"/>
                  <w:divBdr>
                    <w:top w:val="none" w:sz="0" w:space="0" w:color="auto"/>
                    <w:left w:val="none" w:sz="0" w:space="0" w:color="auto"/>
                    <w:bottom w:val="none" w:sz="0" w:space="0" w:color="auto"/>
                    <w:right w:val="none" w:sz="0" w:space="0" w:color="auto"/>
                  </w:divBdr>
                </w:div>
                <w:div w:id="6385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1406">
      <w:bodyDiv w:val="1"/>
      <w:marLeft w:val="0"/>
      <w:marRight w:val="0"/>
      <w:marTop w:val="0"/>
      <w:marBottom w:val="0"/>
      <w:divBdr>
        <w:top w:val="none" w:sz="0" w:space="0" w:color="auto"/>
        <w:left w:val="none" w:sz="0" w:space="0" w:color="auto"/>
        <w:bottom w:val="none" w:sz="0" w:space="0" w:color="auto"/>
        <w:right w:val="none" w:sz="0" w:space="0" w:color="auto"/>
      </w:divBdr>
    </w:div>
    <w:div w:id="1115952544">
      <w:bodyDiv w:val="1"/>
      <w:marLeft w:val="0"/>
      <w:marRight w:val="0"/>
      <w:marTop w:val="0"/>
      <w:marBottom w:val="0"/>
      <w:divBdr>
        <w:top w:val="none" w:sz="0" w:space="0" w:color="auto"/>
        <w:left w:val="none" w:sz="0" w:space="0" w:color="auto"/>
        <w:bottom w:val="none" w:sz="0" w:space="0" w:color="auto"/>
        <w:right w:val="none" w:sz="0" w:space="0" w:color="auto"/>
      </w:divBdr>
    </w:div>
    <w:div w:id="1260529422">
      <w:bodyDiv w:val="1"/>
      <w:marLeft w:val="0"/>
      <w:marRight w:val="0"/>
      <w:marTop w:val="0"/>
      <w:marBottom w:val="0"/>
      <w:divBdr>
        <w:top w:val="none" w:sz="0" w:space="0" w:color="auto"/>
        <w:left w:val="none" w:sz="0" w:space="0" w:color="auto"/>
        <w:bottom w:val="none" w:sz="0" w:space="0" w:color="auto"/>
        <w:right w:val="none" w:sz="0" w:space="0" w:color="auto"/>
      </w:divBdr>
    </w:div>
    <w:div w:id="1301032496">
      <w:bodyDiv w:val="1"/>
      <w:marLeft w:val="0"/>
      <w:marRight w:val="0"/>
      <w:marTop w:val="0"/>
      <w:marBottom w:val="0"/>
      <w:divBdr>
        <w:top w:val="none" w:sz="0" w:space="0" w:color="auto"/>
        <w:left w:val="none" w:sz="0" w:space="0" w:color="auto"/>
        <w:bottom w:val="none" w:sz="0" w:space="0" w:color="auto"/>
        <w:right w:val="none" w:sz="0" w:space="0" w:color="auto"/>
      </w:divBdr>
    </w:div>
    <w:div w:id="1371370761">
      <w:bodyDiv w:val="1"/>
      <w:marLeft w:val="0"/>
      <w:marRight w:val="0"/>
      <w:marTop w:val="0"/>
      <w:marBottom w:val="0"/>
      <w:divBdr>
        <w:top w:val="none" w:sz="0" w:space="0" w:color="auto"/>
        <w:left w:val="none" w:sz="0" w:space="0" w:color="auto"/>
        <w:bottom w:val="none" w:sz="0" w:space="0" w:color="auto"/>
        <w:right w:val="none" w:sz="0" w:space="0" w:color="auto"/>
      </w:divBdr>
    </w:div>
    <w:div w:id="1510678549">
      <w:bodyDiv w:val="1"/>
      <w:marLeft w:val="0"/>
      <w:marRight w:val="0"/>
      <w:marTop w:val="0"/>
      <w:marBottom w:val="0"/>
      <w:divBdr>
        <w:top w:val="none" w:sz="0" w:space="0" w:color="auto"/>
        <w:left w:val="none" w:sz="0" w:space="0" w:color="auto"/>
        <w:bottom w:val="none" w:sz="0" w:space="0" w:color="auto"/>
        <w:right w:val="none" w:sz="0" w:space="0" w:color="auto"/>
      </w:divBdr>
    </w:div>
    <w:div w:id="1612277991">
      <w:bodyDiv w:val="1"/>
      <w:marLeft w:val="0"/>
      <w:marRight w:val="0"/>
      <w:marTop w:val="0"/>
      <w:marBottom w:val="0"/>
      <w:divBdr>
        <w:top w:val="none" w:sz="0" w:space="0" w:color="auto"/>
        <w:left w:val="none" w:sz="0" w:space="0" w:color="auto"/>
        <w:bottom w:val="none" w:sz="0" w:space="0" w:color="auto"/>
        <w:right w:val="none" w:sz="0" w:space="0" w:color="auto"/>
      </w:divBdr>
      <w:divsChild>
        <w:div w:id="1913927551">
          <w:marLeft w:val="0"/>
          <w:marRight w:val="0"/>
          <w:marTop w:val="0"/>
          <w:marBottom w:val="0"/>
          <w:divBdr>
            <w:top w:val="none" w:sz="0" w:space="0" w:color="auto"/>
            <w:left w:val="none" w:sz="0" w:space="0" w:color="auto"/>
            <w:bottom w:val="none" w:sz="0" w:space="0" w:color="auto"/>
            <w:right w:val="none" w:sz="0" w:space="0" w:color="auto"/>
          </w:divBdr>
        </w:div>
      </w:divsChild>
    </w:div>
    <w:div w:id="1633710391">
      <w:bodyDiv w:val="1"/>
      <w:marLeft w:val="0"/>
      <w:marRight w:val="0"/>
      <w:marTop w:val="0"/>
      <w:marBottom w:val="0"/>
      <w:divBdr>
        <w:top w:val="none" w:sz="0" w:space="0" w:color="auto"/>
        <w:left w:val="none" w:sz="0" w:space="0" w:color="auto"/>
        <w:bottom w:val="none" w:sz="0" w:space="0" w:color="auto"/>
        <w:right w:val="none" w:sz="0" w:space="0" w:color="auto"/>
      </w:divBdr>
    </w:div>
    <w:div w:id="1703630811">
      <w:bodyDiv w:val="1"/>
      <w:marLeft w:val="0"/>
      <w:marRight w:val="0"/>
      <w:marTop w:val="0"/>
      <w:marBottom w:val="0"/>
      <w:divBdr>
        <w:top w:val="none" w:sz="0" w:space="0" w:color="auto"/>
        <w:left w:val="none" w:sz="0" w:space="0" w:color="auto"/>
        <w:bottom w:val="none" w:sz="0" w:space="0" w:color="auto"/>
        <w:right w:val="none" w:sz="0" w:space="0" w:color="auto"/>
      </w:divBdr>
    </w:div>
    <w:div w:id="1730610205">
      <w:bodyDiv w:val="1"/>
      <w:marLeft w:val="0"/>
      <w:marRight w:val="0"/>
      <w:marTop w:val="0"/>
      <w:marBottom w:val="0"/>
      <w:divBdr>
        <w:top w:val="none" w:sz="0" w:space="0" w:color="auto"/>
        <w:left w:val="none" w:sz="0" w:space="0" w:color="auto"/>
        <w:bottom w:val="none" w:sz="0" w:space="0" w:color="auto"/>
        <w:right w:val="none" w:sz="0" w:space="0" w:color="auto"/>
      </w:divBdr>
    </w:div>
    <w:div w:id="1910842935">
      <w:bodyDiv w:val="1"/>
      <w:marLeft w:val="0"/>
      <w:marRight w:val="0"/>
      <w:marTop w:val="0"/>
      <w:marBottom w:val="0"/>
      <w:divBdr>
        <w:top w:val="none" w:sz="0" w:space="0" w:color="auto"/>
        <w:left w:val="none" w:sz="0" w:space="0" w:color="auto"/>
        <w:bottom w:val="none" w:sz="0" w:space="0" w:color="auto"/>
        <w:right w:val="none" w:sz="0" w:space="0" w:color="auto"/>
      </w:divBdr>
    </w:div>
    <w:div w:id="20861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migazete.gov.tr/eskiler/2020/06/20200626-1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3053</Words>
  <Characters>17406</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Adana Sanayi Odası</dc:creator>
  <cp:lastModifiedBy>frisb</cp:lastModifiedBy>
  <cp:revision>2</cp:revision>
  <cp:lastPrinted>2020-06-19T07:47:00Z</cp:lastPrinted>
  <dcterms:created xsi:type="dcterms:W3CDTF">2020-06-26T10:56:00Z</dcterms:created>
  <dcterms:modified xsi:type="dcterms:W3CDTF">2020-06-26T10:56:00Z</dcterms:modified>
</cp:coreProperties>
</file>